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B625" w14:textId="77777777" w:rsidR="00A01A8D" w:rsidRDefault="00A01A8D" w:rsidP="005D4102"/>
    <w:p w14:paraId="7E632249" w14:textId="626BF89B" w:rsidR="00A01A8D" w:rsidRPr="00A01A8D" w:rsidRDefault="00A01A8D" w:rsidP="00A01A8D">
      <w:pPr>
        <w:jc w:val="center"/>
        <w:rPr>
          <w:b/>
          <w:bCs/>
          <w:sz w:val="32"/>
          <w:szCs w:val="32"/>
          <w:u w:val="single"/>
        </w:rPr>
      </w:pPr>
      <w:r w:rsidRPr="00A01A8D">
        <w:rPr>
          <w:b/>
          <w:bCs/>
          <w:sz w:val="32"/>
          <w:szCs w:val="32"/>
          <w:u w:val="single"/>
        </w:rPr>
        <w:t>Comments Response</w:t>
      </w:r>
    </w:p>
    <w:p w14:paraId="314CC6C0" w14:textId="7600239D" w:rsidR="005D4102" w:rsidRPr="005D4102" w:rsidRDefault="005D4102" w:rsidP="005D4102">
      <w:r w:rsidRPr="005D4102">
        <w:t xml:space="preserve">Below are section-by-section comments </w:t>
      </w:r>
      <w:r w:rsidR="00A01A8D">
        <w:t xml:space="preserve">by Graeme Group </w:t>
      </w:r>
      <w:r w:rsidRPr="005D4102">
        <w:t xml:space="preserve">on the </w:t>
      </w:r>
      <w:r w:rsidRPr="005D4102">
        <w:rPr>
          <w:i/>
          <w:iCs/>
        </w:rPr>
        <w:t>AG ReAAT_3.23.25 Exposure Draft</w:t>
      </w:r>
      <w:r w:rsidR="00A01A8D">
        <w:t xml:space="preserve">: </w:t>
      </w:r>
    </w:p>
    <w:p w14:paraId="69718EB6" w14:textId="77777777" w:rsidR="005D4102" w:rsidRPr="005D4102" w:rsidRDefault="005D4102" w:rsidP="005D4102">
      <w:r w:rsidRPr="005D4102">
        <w:rPr>
          <w:b/>
          <w:bCs/>
        </w:rPr>
        <w:t>Section 1 – Effective Date</w:t>
      </w:r>
    </w:p>
    <w:p w14:paraId="02AA271D" w14:textId="319CFA01" w:rsidR="005D4102" w:rsidRPr="000459F4" w:rsidRDefault="005D4102" w:rsidP="006F42DE">
      <w:pPr>
        <w:pStyle w:val="ListParagraph"/>
        <w:numPr>
          <w:ilvl w:val="0"/>
          <w:numId w:val="4"/>
        </w:numPr>
      </w:pPr>
      <w:r w:rsidRPr="0012498A">
        <w:t>It may be helpful to clarify whether early adoption is permitted.</w:t>
      </w:r>
    </w:p>
    <w:p w14:paraId="14F0AA98" w14:textId="5F9C1A4F" w:rsidR="005D4102" w:rsidRPr="005D4102" w:rsidRDefault="005D4102" w:rsidP="005D4102">
      <w:r w:rsidRPr="005D4102">
        <w:rPr>
          <w:b/>
          <w:bCs/>
        </w:rPr>
        <w:t>Section 2 – Scope</w:t>
      </w:r>
    </w:p>
    <w:p w14:paraId="15F54829" w14:textId="2FB007F7" w:rsidR="005D4102" w:rsidRDefault="005D4102" w:rsidP="006F42DE">
      <w:pPr>
        <w:pStyle w:val="ListParagraph"/>
        <w:numPr>
          <w:ilvl w:val="0"/>
          <w:numId w:val="3"/>
        </w:numPr>
      </w:pPr>
      <w:r w:rsidRPr="005D4102">
        <w:t>Propose that the scoping criteria (</w:t>
      </w:r>
      <w:proofErr w:type="spellStart"/>
      <w:r w:rsidRPr="005D4102">
        <w:t>i</w:t>
      </w:r>
      <w:proofErr w:type="spellEnd"/>
      <w:r w:rsidRPr="005D4102">
        <w:t>–iv) are consolidated into a table</w:t>
      </w:r>
    </w:p>
    <w:p w14:paraId="5378FB03" w14:textId="7676EF4F" w:rsidR="005D4102" w:rsidRDefault="005D4102" w:rsidP="006F42DE">
      <w:pPr>
        <w:pStyle w:val="ListParagraph"/>
        <w:numPr>
          <w:ilvl w:val="0"/>
          <w:numId w:val="3"/>
        </w:numPr>
      </w:pPr>
      <w:r w:rsidRPr="005D4102">
        <w:t xml:space="preserve">We propose that the Guideline include illustrative examples of </w:t>
      </w:r>
      <w:r w:rsidR="006F42DE" w:rsidRPr="005D4102">
        <w:t>non-affiliated</w:t>
      </w:r>
      <w:r w:rsidRPr="005D4102">
        <w:t xml:space="preserve"> or grey area transactions e.g., non-affiliated transactions such as cessions to unaffiliated Bermuda or European reinsurers not filing VM-30s, and gray-area transactions involving reinsurers with shared governance, rent-a-captive structures, or newly formed entities funded primarily by premiums.</w:t>
      </w:r>
    </w:p>
    <w:p w14:paraId="7260DD9A" w14:textId="11E9D853" w:rsidR="005D4102" w:rsidRPr="005D4102" w:rsidRDefault="00974DD0" w:rsidP="006F42DE">
      <w:pPr>
        <w:pStyle w:val="ListParagraph"/>
        <w:numPr>
          <w:ilvl w:val="0"/>
          <w:numId w:val="3"/>
        </w:numPr>
      </w:pPr>
      <w:r w:rsidRPr="00974DD0">
        <w:t>Clarify whether</w:t>
      </w:r>
      <w:r>
        <w:t xml:space="preserve"> these thresholds are</w:t>
      </w:r>
      <w:r w:rsidRPr="00974DD0">
        <w:t xml:space="preserve"> per treaty or in aggregate</w:t>
      </w:r>
      <w:r>
        <w:t>.</w:t>
      </w:r>
    </w:p>
    <w:p w14:paraId="092260D3" w14:textId="77777777" w:rsidR="005D4102" w:rsidRPr="005D4102" w:rsidRDefault="005D4102" w:rsidP="005D4102">
      <w:r w:rsidRPr="005D4102">
        <w:rPr>
          <w:b/>
          <w:bCs/>
        </w:rPr>
        <w:t>Section 3 – Definitions</w:t>
      </w:r>
    </w:p>
    <w:p w14:paraId="7565DDCD" w14:textId="1E00AD2F" w:rsidR="005D4102" w:rsidRPr="005D4102" w:rsidRDefault="00974DD0" w:rsidP="006F42DE">
      <w:pPr>
        <w:pStyle w:val="ListParagraph"/>
        <w:numPr>
          <w:ilvl w:val="0"/>
          <w:numId w:val="5"/>
        </w:numPr>
      </w:pPr>
      <w:r w:rsidRPr="00974DD0">
        <w:t xml:space="preserve">Clarify whether the definition of "Primary Security" will ultimately refer to a uniform standard or continue to allow flexibility based on </w:t>
      </w:r>
      <w:proofErr w:type="gramStart"/>
      <w:r w:rsidRPr="00974DD0">
        <w:t>regulator</w:t>
      </w:r>
      <w:proofErr w:type="gramEnd"/>
      <w:r w:rsidRPr="00974DD0">
        <w:t xml:space="preserve"> judgment.</w:t>
      </w:r>
    </w:p>
    <w:p w14:paraId="5FFAE799" w14:textId="77777777" w:rsidR="005D4102" w:rsidRPr="005D4102" w:rsidRDefault="005D4102" w:rsidP="005D4102">
      <w:r w:rsidRPr="005D4102">
        <w:rPr>
          <w:b/>
          <w:bCs/>
        </w:rPr>
        <w:t>Section 4 – Risk Identification</w:t>
      </w:r>
    </w:p>
    <w:p w14:paraId="0EC36589" w14:textId="77777777" w:rsidR="00974DD0" w:rsidRDefault="00974DD0" w:rsidP="006F42DE">
      <w:pPr>
        <w:pStyle w:val="ListParagraph"/>
        <w:numPr>
          <w:ilvl w:val="0"/>
          <w:numId w:val="5"/>
        </w:numPr>
      </w:pPr>
      <w:r w:rsidRPr="00974DD0">
        <w:t xml:space="preserve">Should we explicitly include operational risks in this section, e.g., risks related to data integrity or the legal enforceability of collateral? </w:t>
      </w:r>
    </w:p>
    <w:p w14:paraId="7B001974" w14:textId="7CF76D77" w:rsidR="00876D78" w:rsidRPr="00876D78" w:rsidRDefault="00876D78" w:rsidP="006F42DE">
      <w:pPr>
        <w:pStyle w:val="ListParagraph"/>
        <w:numPr>
          <w:ilvl w:val="0"/>
          <w:numId w:val="5"/>
        </w:numPr>
      </w:pPr>
      <w:r w:rsidRPr="00876D78">
        <w:t>Here are potential metrics to consider</w:t>
      </w:r>
      <w:r>
        <w:t xml:space="preserve"> for non-primary security measures</w:t>
      </w:r>
      <w:r w:rsidRPr="00876D78">
        <w:t>:</w:t>
      </w:r>
    </w:p>
    <w:p w14:paraId="4DDD6895" w14:textId="77777777" w:rsidR="00876D78" w:rsidRPr="00876D78" w:rsidRDefault="00876D78" w:rsidP="006F42DE">
      <w:pPr>
        <w:numPr>
          <w:ilvl w:val="1"/>
          <w:numId w:val="5"/>
        </w:numPr>
      </w:pPr>
      <w:r w:rsidRPr="00876D78">
        <w:t>Ratio of non-primary security to total reinsurance credit exposure, highlighting reliance on unsupported forms of collateral</w:t>
      </w:r>
    </w:p>
    <w:p w14:paraId="4201F645" w14:textId="77777777" w:rsidR="00876D78" w:rsidRPr="00876D78" w:rsidRDefault="00876D78" w:rsidP="006F42DE">
      <w:pPr>
        <w:numPr>
          <w:ilvl w:val="1"/>
          <w:numId w:val="5"/>
        </w:numPr>
      </w:pPr>
      <w:r w:rsidRPr="00876D78">
        <w:t>Duration mismatch between assets backing the reserve credit and liability cash flows</w:t>
      </w:r>
    </w:p>
    <w:p w14:paraId="60517C3F" w14:textId="77777777" w:rsidR="00876D78" w:rsidRPr="00876D78" w:rsidRDefault="00876D78" w:rsidP="006F42DE">
      <w:pPr>
        <w:numPr>
          <w:ilvl w:val="1"/>
          <w:numId w:val="5"/>
        </w:numPr>
      </w:pPr>
      <w:r w:rsidRPr="00876D78">
        <w:t xml:space="preserve">Volatility of surplus emergence in post-reinsurance projections </w:t>
      </w:r>
    </w:p>
    <w:p w14:paraId="31186C28" w14:textId="77777777" w:rsidR="00876D78" w:rsidRPr="00876D78" w:rsidRDefault="00876D78" w:rsidP="006F42DE">
      <w:pPr>
        <w:numPr>
          <w:ilvl w:val="1"/>
          <w:numId w:val="5"/>
        </w:numPr>
      </w:pPr>
      <w:r w:rsidRPr="00876D78">
        <w:t xml:space="preserve">Reliance on non-fungible assets or bespoke instruments in the collateral structure </w:t>
      </w:r>
    </w:p>
    <w:p w14:paraId="3EB4D3BB" w14:textId="0583E44D" w:rsidR="005D4102" w:rsidRPr="005D4102" w:rsidRDefault="005D4102" w:rsidP="005D4102"/>
    <w:p w14:paraId="3A2B7218" w14:textId="77777777" w:rsidR="005D4102" w:rsidRPr="005D4102" w:rsidRDefault="005D4102" w:rsidP="005D4102">
      <w:r w:rsidRPr="005D4102">
        <w:rPr>
          <w:b/>
          <w:bCs/>
        </w:rPr>
        <w:t>Section 5 – Analysis and Documentation Expectations</w:t>
      </w:r>
    </w:p>
    <w:p w14:paraId="53032680" w14:textId="3529B875" w:rsidR="00DA5611" w:rsidRDefault="00124394" w:rsidP="00DA5611">
      <w:pPr>
        <w:pStyle w:val="ListParagraph"/>
        <w:numPr>
          <w:ilvl w:val="0"/>
          <w:numId w:val="6"/>
        </w:numPr>
      </w:pPr>
      <w:r w:rsidRPr="00124394">
        <w:lastRenderedPageBreak/>
        <w:t>Consider referencing criteria that might prompt a commissioner review (e.g., size, leverage, surplus emergence patterns).</w:t>
      </w:r>
    </w:p>
    <w:p w14:paraId="10768C13" w14:textId="77777777" w:rsidR="00DA5611" w:rsidRPr="00DA5611" w:rsidRDefault="00DA5611" w:rsidP="00DA5611">
      <w:pPr>
        <w:pStyle w:val="ListParagraph"/>
        <w:numPr>
          <w:ilvl w:val="0"/>
          <w:numId w:val="6"/>
        </w:numPr>
      </w:pPr>
      <w:r w:rsidRPr="00DA5611">
        <w:t>Additional examples of less rigorous analyses:</w:t>
      </w:r>
    </w:p>
    <w:p w14:paraId="2EE86D8D" w14:textId="77777777" w:rsidR="00DA5611" w:rsidRPr="00DA5611" w:rsidRDefault="00DA5611" w:rsidP="00DA5611">
      <w:pPr>
        <w:pStyle w:val="ListParagraph"/>
        <w:numPr>
          <w:ilvl w:val="1"/>
          <w:numId w:val="6"/>
        </w:numPr>
      </w:pPr>
      <w:r w:rsidRPr="00DA5611">
        <w:t xml:space="preserve">Modified Deterministic </w:t>
      </w:r>
      <w:proofErr w:type="spellStart"/>
      <w:r w:rsidRPr="00DA5611">
        <w:t>Rollforward</w:t>
      </w:r>
      <w:proofErr w:type="spellEnd"/>
      <w:r w:rsidRPr="00DA5611">
        <w:t xml:space="preserve"> Analysis - Begins with a known actuarial reserve and evaluates year-over-year reserve </w:t>
      </w:r>
      <w:proofErr w:type="spellStart"/>
      <w:r w:rsidRPr="00DA5611">
        <w:t>rollforward</w:t>
      </w:r>
      <w:proofErr w:type="spellEnd"/>
      <w:r w:rsidRPr="00DA5611">
        <w:t xml:space="preserve"> under assumed asset yield, lapse, and mortality patterns. </w:t>
      </w:r>
    </w:p>
    <w:p w14:paraId="7F465E01" w14:textId="0D91620D" w:rsidR="00DA5611" w:rsidRDefault="00DA5611" w:rsidP="00DA5611">
      <w:pPr>
        <w:pStyle w:val="ListParagraph"/>
        <w:numPr>
          <w:ilvl w:val="1"/>
          <w:numId w:val="6"/>
        </w:numPr>
      </w:pPr>
      <w:r w:rsidRPr="00DA5611">
        <w:t xml:space="preserve">Ratio-Based Surplus Sensitivity Testing - Applies prescribed stresses (e.g., 50bps asset spread widening, 10% lapse shock) to liability values, then assesses impact on surplus or required capital under simple approximations. While not a full AAT, this approach can demonstrate directional sensitivity to material risks. </w:t>
      </w:r>
    </w:p>
    <w:p w14:paraId="1A47A92C" w14:textId="5F9276A1" w:rsidR="00DA5611" w:rsidRDefault="00DA5611" w:rsidP="00DA5611">
      <w:pPr>
        <w:pStyle w:val="ListParagraph"/>
        <w:numPr>
          <w:ilvl w:val="0"/>
          <w:numId w:val="6"/>
        </w:numPr>
      </w:pPr>
      <w:r w:rsidRPr="00DA5611">
        <w:t>The retroactive lookback to 2015 is helpful but may be insufficient if relationships have been restructured to circumvent classification.</w:t>
      </w:r>
    </w:p>
    <w:p w14:paraId="4B81A2CC" w14:textId="49D59A7B" w:rsidR="00CC518A" w:rsidRPr="005D4102" w:rsidRDefault="00CC518A" w:rsidP="00DA5611">
      <w:pPr>
        <w:pStyle w:val="ListParagraph"/>
        <w:numPr>
          <w:ilvl w:val="0"/>
          <w:numId w:val="6"/>
        </w:numPr>
      </w:pPr>
      <w:r w:rsidRPr="00CC518A">
        <w:t>Propose that “non-substantial” is buffered using objective criteria. We can help the NAIC develop these</w:t>
      </w:r>
      <w:r>
        <w:t xml:space="preserve"> if desired. </w:t>
      </w:r>
    </w:p>
    <w:p w14:paraId="00F50023" w14:textId="77777777" w:rsidR="005D4102" w:rsidRDefault="005D4102" w:rsidP="005D4102">
      <w:pPr>
        <w:rPr>
          <w:b/>
          <w:bCs/>
        </w:rPr>
      </w:pPr>
      <w:r w:rsidRPr="005D4102">
        <w:rPr>
          <w:b/>
          <w:bCs/>
        </w:rPr>
        <w:t>Section 6 – Cash-Flow Testing Details</w:t>
      </w:r>
    </w:p>
    <w:p w14:paraId="3B260C5B" w14:textId="47DEDA6C" w:rsidR="005D4102" w:rsidRPr="005D4102" w:rsidRDefault="00124394" w:rsidP="006F42DE">
      <w:pPr>
        <w:pStyle w:val="ListParagraph"/>
        <w:numPr>
          <w:ilvl w:val="0"/>
          <w:numId w:val="6"/>
        </w:numPr>
      </w:pPr>
      <w:r w:rsidRPr="00124394">
        <w:t>Consider proposing that the Starting Asset Amount for the Alternative Run be presented both gross and net of any non-Primary Security included</w:t>
      </w:r>
    </w:p>
    <w:p w14:paraId="3DB4D7A0" w14:textId="77777777" w:rsidR="005D4102" w:rsidRPr="005D4102" w:rsidRDefault="005D4102" w:rsidP="005D4102">
      <w:r w:rsidRPr="005D4102">
        <w:rPr>
          <w:b/>
          <w:bCs/>
        </w:rPr>
        <w:t>Section 7 – Attribution Analysis</w:t>
      </w:r>
    </w:p>
    <w:p w14:paraId="2A966858" w14:textId="339AC56F" w:rsidR="005D4102" w:rsidRDefault="005D4102" w:rsidP="006F42DE">
      <w:pPr>
        <w:pStyle w:val="ListParagraph"/>
        <w:numPr>
          <w:ilvl w:val="0"/>
          <w:numId w:val="6"/>
        </w:numPr>
      </w:pPr>
      <w:r w:rsidRPr="005D4102">
        <w:t>The Guideline may benefit from specifying whether attribution analysis is required for each individual transaction or whether it can be presented in aggregate by product type or counterparty.</w:t>
      </w:r>
    </w:p>
    <w:sectPr w:rsidR="005D41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E4366" w14:textId="77777777" w:rsidR="000D2BF6" w:rsidRDefault="000D2BF6" w:rsidP="00A01A8D">
      <w:pPr>
        <w:spacing w:after="0" w:line="240" w:lineRule="auto"/>
      </w:pPr>
      <w:r>
        <w:separator/>
      </w:r>
    </w:p>
  </w:endnote>
  <w:endnote w:type="continuationSeparator" w:id="0">
    <w:p w14:paraId="08DFD888" w14:textId="77777777" w:rsidR="000D2BF6" w:rsidRDefault="000D2BF6" w:rsidP="00A0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D6D27" w14:textId="77777777" w:rsidR="000D2BF6" w:rsidRDefault="000D2BF6" w:rsidP="00A01A8D">
      <w:pPr>
        <w:spacing w:after="0" w:line="240" w:lineRule="auto"/>
      </w:pPr>
      <w:r>
        <w:separator/>
      </w:r>
    </w:p>
  </w:footnote>
  <w:footnote w:type="continuationSeparator" w:id="0">
    <w:p w14:paraId="25F99B89" w14:textId="77777777" w:rsidR="000D2BF6" w:rsidRDefault="000D2BF6" w:rsidP="00A0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5AFA8" w14:textId="3959148C" w:rsidR="00A01A8D" w:rsidRDefault="00A01A8D">
    <w:pPr>
      <w:pStyle w:val="Header"/>
    </w:pPr>
    <w:r w:rsidRPr="00A01A8D">
      <w:drawing>
        <wp:anchor distT="0" distB="0" distL="114300" distR="114300" simplePos="0" relativeHeight="251658240" behindDoc="1" locked="0" layoutInCell="1" allowOverlap="1" wp14:anchorId="297605BE" wp14:editId="6EBDA843">
          <wp:simplePos x="0" y="0"/>
          <wp:positionH relativeFrom="column">
            <wp:posOffset>1295400</wp:posOffset>
          </wp:positionH>
          <wp:positionV relativeFrom="paragraph">
            <wp:posOffset>-396240</wp:posOffset>
          </wp:positionV>
          <wp:extent cx="2834886" cy="784928"/>
          <wp:effectExtent l="0" t="0" r="3810" b="0"/>
          <wp:wrapNone/>
          <wp:docPr id="1034591063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591063" name="Picture 1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886" cy="784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E661B"/>
    <w:multiLevelType w:val="hybridMultilevel"/>
    <w:tmpl w:val="D47C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1ECD"/>
    <w:multiLevelType w:val="hybridMultilevel"/>
    <w:tmpl w:val="A540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A4C26"/>
    <w:multiLevelType w:val="hybridMultilevel"/>
    <w:tmpl w:val="4BB2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F5D73"/>
    <w:multiLevelType w:val="multilevel"/>
    <w:tmpl w:val="BFF6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5203FB"/>
    <w:multiLevelType w:val="hybridMultilevel"/>
    <w:tmpl w:val="CCD0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B5859"/>
    <w:multiLevelType w:val="hybridMultilevel"/>
    <w:tmpl w:val="444CA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92232">
    <w:abstractNumId w:val="5"/>
  </w:num>
  <w:num w:numId="2" w16cid:durableId="169106288">
    <w:abstractNumId w:val="3"/>
  </w:num>
  <w:num w:numId="3" w16cid:durableId="1080297561">
    <w:abstractNumId w:val="4"/>
  </w:num>
  <w:num w:numId="4" w16cid:durableId="1581909779">
    <w:abstractNumId w:val="0"/>
  </w:num>
  <w:num w:numId="5" w16cid:durableId="1323971500">
    <w:abstractNumId w:val="1"/>
  </w:num>
  <w:num w:numId="6" w16cid:durableId="96011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02"/>
    <w:rsid w:val="000459F4"/>
    <w:rsid w:val="000D2BF6"/>
    <w:rsid w:val="00124394"/>
    <w:rsid w:val="00407710"/>
    <w:rsid w:val="005D4102"/>
    <w:rsid w:val="006F42DE"/>
    <w:rsid w:val="00876D78"/>
    <w:rsid w:val="00974DD0"/>
    <w:rsid w:val="00A01A8D"/>
    <w:rsid w:val="00CC518A"/>
    <w:rsid w:val="00DA5611"/>
    <w:rsid w:val="00D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4673"/>
  <w15:chartTrackingRefBased/>
  <w15:docId w15:val="{E662AAA6-60F2-42EB-92BF-65C7C1A9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1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1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1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1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1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1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1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1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1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A8D"/>
  </w:style>
  <w:style w:type="paragraph" w:styleId="Footer">
    <w:name w:val="footer"/>
    <w:basedOn w:val="Normal"/>
    <w:link w:val="FooterChar"/>
    <w:uiPriority w:val="99"/>
    <w:unhideWhenUsed/>
    <w:rsid w:val="00A0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674D47D81254AAE898D727025BAAD" ma:contentTypeVersion="23" ma:contentTypeDescription="Create a new document." ma:contentTypeScope="" ma:versionID="c2a53018661d2d35647e3e684c165d03">
  <xsd:schema xmlns:xsd="http://www.w3.org/2001/XMLSchema" xmlns:xs="http://www.w3.org/2001/XMLSchema" xmlns:p="http://schemas.microsoft.com/office/2006/metadata/properties" xmlns:ns1="http://schemas.microsoft.com/sharepoint/v3" xmlns:ns2="734dc620-9a3c-4363-b6b2-552d0a5c0ad8" xmlns:ns3="http://schemas.microsoft.com/sharepoint/v3/fields" xmlns:ns4="55eb7663-75cc-4f64-9609-52561375e7a6" xmlns:ns5="3c9e15a3-223f-4584-afb1-1dbe0b3878fa" targetNamespace="http://schemas.microsoft.com/office/2006/metadata/properties" ma:root="true" ma:fieldsID="1f6dc6efd9d21f64aa3096b01f32c3f3" ns1:_="" ns2:_="" ns3:_="" ns4:_="" ns5:_="">
    <xsd:import namespace="http://schemas.microsoft.com/sharepoint/v3"/>
    <xsd:import namespace="734dc620-9a3c-4363-b6b2-552d0a5c0ad8"/>
    <xsd:import namespace="http://schemas.microsoft.com/sharepoint/v3/fields"/>
    <xsd:import namespace="55eb7663-75cc-4f64-9609-52561375e7a6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1:StartDate" minOccurs="0"/>
                <xsd:element ref="ns3:_EndDate" minOccurs="0"/>
                <xsd:element ref="ns3: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1:DocumentSetDescrip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9" nillable="true" ma:displayName="Start Date" ma:default="[today]" ma:format="DateOnly" ma:indexed="true" ma:internalName="StartDate">
      <xsd:simpleType>
        <xsd:restriction base="dms:DateTime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620-9a3c-4363-b6b2-552d0a5c0ad8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 ma:readOnly="false">
      <xsd:simpleType>
        <xsd:union memberTypes="dms:Text">
          <xsd:simpleType>
            <xsd:restriction base="dms:Choice">
              <xsd:enumeration value="Commissioners' Conference"/>
              <xsd:enumeration value="Fall National"/>
              <xsd:enumeration value="Insurance Summit"/>
              <xsd:enumeration value="Leadership Forum"/>
              <xsd:enumeration value="Mid-Year ExCo and RT"/>
              <xsd:enumeration value="Spring National"/>
              <xsd:enumeration value="Summer National"/>
              <xsd:enumeration value="IAO Leadership Brief"/>
            </xsd:restriction>
          </xsd:simpleType>
        </xsd:un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0" nillable="true" ma:displayName="End Date" ma:default="[today]" ma:format="DateOnly" ma:internalName="_EndDate">
      <xsd:simpleType>
        <xsd:restriction base="dms:DateTime"/>
      </xsd:simpleType>
    </xsd:element>
    <xsd:element name="Location" ma:index="11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7663-75cc-4f64-9609-52561375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1fe78a2-4e71-403c-bd98-a83249bb9193}" ma:internalName="TaxCatchAll" ma:showField="CatchAllData" ma:web="734dc620-9a3c-4363-b6b2-552d0a5c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55eb7663-75cc-4f64-9609-52561375e7a6">
      <Terms xmlns="http://schemas.microsoft.com/office/infopath/2007/PartnerControls"/>
    </lcf76f155ced4ddcb4097134ff3c332f>
    <DocumentSetDescription xmlns="http://schemas.microsoft.com/sharepoint/v3" xsi:nil="true"/>
    <_EndDate xmlns="http://schemas.microsoft.com/sharepoint/v3/fields">2025-03-31T12:50:19+00:00</_EndDate>
    <StartDate xmlns="http://schemas.microsoft.com/sharepoint/v3">2025-03-31T12:50:19+00:00</StartDate>
    <Location xmlns="http://schemas.microsoft.com/sharepoint/v3/fields" xsi:nil="true"/>
    <Meeting_x0020_Type xmlns="734dc620-9a3c-4363-b6b2-552d0a5c0ad8" xsi:nil="true"/>
  </documentManagement>
</p:properties>
</file>

<file path=customXml/itemProps1.xml><?xml version="1.0" encoding="utf-8"?>
<ds:datastoreItem xmlns:ds="http://schemas.openxmlformats.org/officeDocument/2006/customXml" ds:itemID="{B471878B-36B6-4237-A5D7-5FDA7F48C432}"/>
</file>

<file path=customXml/itemProps2.xml><?xml version="1.0" encoding="utf-8"?>
<ds:datastoreItem xmlns:ds="http://schemas.openxmlformats.org/officeDocument/2006/customXml" ds:itemID="{F428A360-4A10-436A-BB40-41DC3CF582AA}"/>
</file>

<file path=customXml/itemProps3.xml><?xml version="1.0" encoding="utf-8"?>
<ds:datastoreItem xmlns:ds="http://schemas.openxmlformats.org/officeDocument/2006/customXml" ds:itemID="{4C2A65EB-DE5B-4AEF-813D-7DBE0A24C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Levitt</dc:creator>
  <cp:keywords/>
  <dc:description/>
  <cp:lastModifiedBy>Jeremy Levitt</cp:lastModifiedBy>
  <cp:revision>6</cp:revision>
  <dcterms:created xsi:type="dcterms:W3CDTF">2025-03-30T14:18:00Z</dcterms:created>
  <dcterms:modified xsi:type="dcterms:W3CDTF">2025-03-30T15:23:00Z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0x010100376674D47D81254AAE898D727025BAAD</vt:lpwstr>
  </property>
</Properties>
</file>