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E6505" w14:textId="6CBD5D5D" w:rsidR="006839C5" w:rsidRPr="00545644" w:rsidRDefault="006839C5" w:rsidP="006839C5">
      <w:pPr>
        <w:widowControl/>
        <w:rPr>
          <w:rFonts w:eastAsia="Times New Roman" w:cs="Times New Roman"/>
          <w:b/>
          <w:i/>
          <w:sz w:val="28"/>
          <w:szCs w:val="28"/>
          <w:u w:val="single"/>
        </w:rPr>
      </w:pPr>
      <w:r w:rsidRPr="00545644">
        <w:rPr>
          <w:rFonts w:eastAsia="Times New Roman" w:cs="Times New Roman"/>
          <w:b/>
          <w:i/>
          <w:sz w:val="28"/>
          <w:szCs w:val="28"/>
          <w:u w:val="single"/>
        </w:rPr>
        <w:t>R</w:t>
      </w:r>
      <w:r w:rsidR="005141C8">
        <w:rPr>
          <w:rFonts w:eastAsia="Times New Roman" w:cs="Times New Roman"/>
          <w:b/>
          <w:i/>
          <w:sz w:val="28"/>
          <w:szCs w:val="28"/>
          <w:u w:val="single"/>
        </w:rPr>
        <w:t>UTLED</w:t>
      </w:r>
      <w:r w:rsidR="00FB33F9">
        <w:rPr>
          <w:rFonts w:eastAsia="Times New Roman" w:cs="Times New Roman"/>
          <w:b/>
          <w:i/>
          <w:sz w:val="28"/>
          <w:szCs w:val="28"/>
          <w:u w:val="single"/>
        </w:rPr>
        <w:t>GE</w:t>
      </w:r>
      <w:r w:rsidRPr="00545644">
        <w:rPr>
          <w:rFonts w:eastAsia="Times New Roman" w:cs="Times New Roman"/>
          <w:b/>
          <w:i/>
          <w:sz w:val="28"/>
          <w:szCs w:val="28"/>
          <w:u w:val="single"/>
        </w:rPr>
        <w:t xml:space="preserve"> v. </w:t>
      </w:r>
      <w:r w:rsidR="00FB33F9">
        <w:rPr>
          <w:rFonts w:eastAsia="Times New Roman" w:cs="Times New Roman"/>
          <w:b/>
          <w:i/>
          <w:sz w:val="28"/>
          <w:szCs w:val="28"/>
          <w:u w:val="single"/>
        </w:rPr>
        <w:t>PHARMAC</w:t>
      </w:r>
      <w:r w:rsidR="00B04E94">
        <w:rPr>
          <w:rFonts w:eastAsia="Times New Roman" w:cs="Times New Roman"/>
          <w:b/>
          <w:i/>
          <w:sz w:val="28"/>
          <w:szCs w:val="28"/>
          <w:u w:val="single"/>
        </w:rPr>
        <w:t>EUTICAL</w:t>
      </w:r>
      <w:r w:rsidR="00FB33F9">
        <w:rPr>
          <w:rFonts w:eastAsia="Times New Roman" w:cs="Times New Roman"/>
          <w:b/>
          <w:i/>
          <w:sz w:val="28"/>
          <w:szCs w:val="28"/>
          <w:u w:val="single"/>
        </w:rPr>
        <w:t xml:space="preserve"> CARE MANAGEMENT ASS’N</w:t>
      </w:r>
      <w:r w:rsidRPr="00545644">
        <w:rPr>
          <w:rFonts w:eastAsia="Times New Roman" w:cs="Times New Roman"/>
          <w:b/>
          <w:i/>
          <w:sz w:val="28"/>
          <w:szCs w:val="28"/>
          <w:u w:val="single"/>
        </w:rPr>
        <w:t>,</w:t>
      </w:r>
    </w:p>
    <w:p w14:paraId="34064A82" w14:textId="351F739F" w:rsidR="006839C5" w:rsidRDefault="00F44496" w:rsidP="006839C5">
      <w:pPr>
        <w:widowControl/>
        <w:rPr>
          <w:rFonts w:eastAsia="Times New Roman" w:cs="Times New Roman"/>
          <w:b/>
          <w:i/>
          <w:sz w:val="28"/>
          <w:szCs w:val="28"/>
          <w:u w:val="single"/>
        </w:rPr>
      </w:pPr>
      <w:r>
        <w:rPr>
          <w:rFonts w:eastAsia="Times New Roman" w:cs="Times New Roman"/>
          <w:b/>
          <w:i/>
          <w:sz w:val="28"/>
          <w:szCs w:val="28"/>
          <w:u w:val="single"/>
        </w:rPr>
        <w:t>141</w:t>
      </w:r>
      <w:r w:rsidR="006839C5" w:rsidRPr="00545644">
        <w:rPr>
          <w:rFonts w:eastAsia="Times New Roman" w:cs="Times New Roman"/>
          <w:b/>
          <w:i/>
          <w:sz w:val="28"/>
          <w:szCs w:val="28"/>
          <w:u w:val="single"/>
        </w:rPr>
        <w:t xml:space="preserve"> </w:t>
      </w:r>
      <w:proofErr w:type="spellStart"/>
      <w:r w:rsidR="006839C5" w:rsidRPr="00545644">
        <w:rPr>
          <w:rFonts w:eastAsia="Times New Roman" w:cs="Times New Roman"/>
          <w:b/>
          <w:i/>
          <w:sz w:val="28"/>
          <w:szCs w:val="28"/>
          <w:u w:val="single"/>
        </w:rPr>
        <w:t>S.</w:t>
      </w:r>
      <w:r>
        <w:rPr>
          <w:rFonts w:eastAsia="Times New Roman" w:cs="Times New Roman"/>
          <w:b/>
          <w:i/>
          <w:sz w:val="28"/>
          <w:szCs w:val="28"/>
          <w:u w:val="single"/>
        </w:rPr>
        <w:t>Ct</w:t>
      </w:r>
      <w:proofErr w:type="spellEnd"/>
      <w:r>
        <w:rPr>
          <w:rFonts w:eastAsia="Times New Roman" w:cs="Times New Roman"/>
          <w:b/>
          <w:i/>
          <w:sz w:val="28"/>
          <w:szCs w:val="28"/>
          <w:u w:val="single"/>
        </w:rPr>
        <w:t>.</w:t>
      </w:r>
      <w:r w:rsidR="006839C5" w:rsidRPr="00545644">
        <w:rPr>
          <w:rFonts w:eastAsia="Times New Roman" w:cs="Times New Roman"/>
          <w:b/>
          <w:i/>
          <w:sz w:val="28"/>
          <w:szCs w:val="28"/>
          <w:u w:val="single"/>
        </w:rPr>
        <w:t xml:space="preserve"> </w:t>
      </w:r>
      <w:r w:rsidR="006877B0">
        <w:rPr>
          <w:rFonts w:eastAsia="Times New Roman" w:cs="Times New Roman"/>
          <w:b/>
          <w:i/>
          <w:sz w:val="28"/>
          <w:szCs w:val="28"/>
          <w:u w:val="single"/>
        </w:rPr>
        <w:t>474</w:t>
      </w:r>
      <w:r w:rsidR="006839C5" w:rsidRPr="00545644">
        <w:rPr>
          <w:rFonts w:eastAsia="Times New Roman" w:cs="Times New Roman"/>
          <w:b/>
          <w:i/>
          <w:sz w:val="28"/>
          <w:szCs w:val="28"/>
          <w:u w:val="single"/>
        </w:rPr>
        <w:t xml:space="preserve"> (</w:t>
      </w:r>
      <w:r w:rsidR="006877B0">
        <w:rPr>
          <w:rFonts w:eastAsia="Times New Roman" w:cs="Times New Roman"/>
          <w:b/>
          <w:i/>
          <w:sz w:val="28"/>
          <w:szCs w:val="28"/>
          <w:u w:val="single"/>
        </w:rPr>
        <w:t>2020</w:t>
      </w:r>
      <w:r w:rsidR="006839C5" w:rsidRPr="00545644">
        <w:rPr>
          <w:rFonts w:eastAsia="Times New Roman" w:cs="Times New Roman"/>
          <w:b/>
          <w:i/>
          <w:sz w:val="28"/>
          <w:szCs w:val="28"/>
          <w:u w:val="single"/>
        </w:rPr>
        <w:t>)</w:t>
      </w:r>
    </w:p>
    <w:p w14:paraId="706520F6" w14:textId="77777777" w:rsidR="006839C5" w:rsidRPr="00545644" w:rsidRDefault="006839C5" w:rsidP="006839C5">
      <w:pPr>
        <w:widowControl/>
        <w:rPr>
          <w:rFonts w:eastAsia="Times New Roman" w:cs="Times New Roman"/>
          <w:b/>
          <w:i/>
          <w:sz w:val="28"/>
          <w:szCs w:val="28"/>
          <w:u w:val="single"/>
        </w:rPr>
      </w:pPr>
    </w:p>
    <w:p w14:paraId="7BAF79B3" w14:textId="44C5064D" w:rsidR="00B247DB" w:rsidRDefault="006877B0" w:rsidP="00B202BC">
      <w:pPr>
        <w:rPr>
          <w:rFonts w:eastAsia="Times New Roman" w:cs="Times New Roman"/>
          <w:szCs w:val="20"/>
        </w:rPr>
      </w:pPr>
      <w:r>
        <w:rPr>
          <w:rFonts w:eastAsia="Times New Roman" w:cs="Times New Roman"/>
          <w:szCs w:val="20"/>
        </w:rPr>
        <w:t xml:space="preserve">In </w:t>
      </w:r>
      <w:r w:rsidR="005168C3">
        <w:rPr>
          <w:rFonts w:eastAsia="Times New Roman" w:cs="Times New Roman"/>
          <w:i/>
          <w:iCs/>
          <w:szCs w:val="20"/>
        </w:rPr>
        <w:t xml:space="preserve">Rutledge </w:t>
      </w:r>
      <w:r w:rsidR="001269E8">
        <w:rPr>
          <w:rFonts w:eastAsia="Times New Roman" w:cs="Times New Roman"/>
          <w:i/>
          <w:iCs/>
          <w:szCs w:val="20"/>
        </w:rPr>
        <w:t>v. PCMA</w:t>
      </w:r>
      <w:r w:rsidR="00B247DB" w:rsidRPr="00B247DB">
        <w:rPr>
          <w:rFonts w:eastAsia="Times New Roman" w:cs="Times New Roman"/>
          <w:szCs w:val="20"/>
        </w:rPr>
        <w:t>, the Court upheld an Arkansas law, Act 900, which required pharmacy benefit</w:t>
      </w:r>
      <w:r w:rsidR="00D072EE">
        <w:rPr>
          <w:rFonts w:eastAsia="Times New Roman" w:cs="Times New Roman"/>
          <w:szCs w:val="20"/>
        </w:rPr>
        <w:t>s</w:t>
      </w:r>
      <w:r w:rsidR="00B247DB" w:rsidRPr="00B247DB">
        <w:rPr>
          <w:rFonts w:eastAsia="Times New Roman" w:cs="Times New Roman"/>
          <w:szCs w:val="20"/>
        </w:rPr>
        <w:t xml:space="preserve"> managers (“PBMs”)</w:t>
      </w:r>
      <w:r w:rsidR="00F54A2C">
        <w:rPr>
          <w:rStyle w:val="FootnoteReference"/>
          <w:rFonts w:eastAsia="Times New Roman" w:cs="Times New Roman"/>
          <w:szCs w:val="20"/>
        </w:rPr>
        <w:footnoteReference w:id="1"/>
      </w:r>
      <w:r w:rsidR="00B247DB" w:rsidRPr="00B247DB">
        <w:rPr>
          <w:rFonts w:eastAsia="Times New Roman" w:cs="Times New Roman"/>
          <w:szCs w:val="20"/>
        </w:rPr>
        <w:t xml:space="preserve"> to reimburse pharmacies at a price equal to or higher than what the pharmacy paid to buy the drug. Act 900 required PBMs to provide administrative appeal procedures for pharmacies to challenge reimbursement prices that are below the pharmacies’ acquisition costs, and it also authorized pharmacies to decline to dispense drugs when a PBM would provide a below-cost reimbursement.</w:t>
      </w:r>
      <w:r w:rsidR="00DA4A78">
        <w:rPr>
          <w:rFonts w:eastAsia="Times New Roman" w:cs="Times New Roman"/>
          <w:szCs w:val="20"/>
        </w:rPr>
        <w:t xml:space="preserve"> </w:t>
      </w:r>
      <w:r w:rsidR="005B333A">
        <w:rPr>
          <w:rFonts w:eastAsia="Times New Roman" w:cs="Times New Roman"/>
          <w:szCs w:val="20"/>
        </w:rPr>
        <w:t xml:space="preserve">Act </w:t>
      </w:r>
      <w:r w:rsidR="0008079D">
        <w:rPr>
          <w:rFonts w:eastAsia="Times New Roman" w:cs="Times New Roman"/>
          <w:szCs w:val="20"/>
        </w:rPr>
        <w:t xml:space="preserve">900 </w:t>
      </w:r>
      <w:r w:rsidR="005D1763">
        <w:rPr>
          <w:rFonts w:eastAsia="Times New Roman" w:cs="Times New Roman"/>
          <w:szCs w:val="20"/>
        </w:rPr>
        <w:t xml:space="preserve">applied to all transactions between PBMs and pharmacies, </w:t>
      </w:r>
      <w:r w:rsidR="0025385C">
        <w:rPr>
          <w:rFonts w:eastAsia="Times New Roman" w:cs="Times New Roman"/>
          <w:szCs w:val="20"/>
        </w:rPr>
        <w:t>including transactions where the PBM was acting on behalf of a self-insured ERISA plan</w:t>
      </w:r>
      <w:r w:rsidR="005F696F">
        <w:rPr>
          <w:rFonts w:eastAsia="Times New Roman" w:cs="Times New Roman"/>
          <w:szCs w:val="20"/>
        </w:rPr>
        <w:t>. T</w:t>
      </w:r>
      <w:r w:rsidR="00EB397F">
        <w:rPr>
          <w:rFonts w:eastAsia="Times New Roman" w:cs="Times New Roman"/>
          <w:szCs w:val="20"/>
        </w:rPr>
        <w:t>hus, the saving clause was not at issue in this case.</w:t>
      </w:r>
    </w:p>
    <w:p w14:paraId="2A3E3764" w14:textId="77777777" w:rsidR="009A03F0" w:rsidRPr="00B247DB" w:rsidRDefault="009A03F0" w:rsidP="00B202BC">
      <w:pPr>
        <w:rPr>
          <w:rFonts w:eastAsia="Times New Roman" w:cs="Times New Roman"/>
          <w:szCs w:val="20"/>
        </w:rPr>
      </w:pPr>
    </w:p>
    <w:p w14:paraId="15DCC935" w14:textId="527E9CAB" w:rsidR="00B247DB" w:rsidRDefault="00A34CAC" w:rsidP="00B202BC">
      <w:pPr>
        <w:rPr>
          <w:rFonts w:eastAsia="Times New Roman" w:cs="Times New Roman"/>
          <w:szCs w:val="20"/>
        </w:rPr>
      </w:pPr>
      <w:r>
        <w:rPr>
          <w:rFonts w:eastAsia="Times New Roman" w:cs="Times New Roman"/>
          <w:szCs w:val="20"/>
        </w:rPr>
        <w:t xml:space="preserve">In a suit brought </w:t>
      </w:r>
      <w:r w:rsidR="00DC48A9">
        <w:rPr>
          <w:rFonts w:eastAsia="Times New Roman" w:cs="Times New Roman"/>
          <w:szCs w:val="20"/>
        </w:rPr>
        <w:t xml:space="preserve">by </w:t>
      </w:r>
      <w:r w:rsidR="00B247DB" w:rsidRPr="00B247DB">
        <w:rPr>
          <w:rFonts w:eastAsia="Times New Roman" w:cs="Times New Roman"/>
          <w:szCs w:val="20"/>
        </w:rPr>
        <w:t>Pharmaceutical Care Management Association (“PCMA”), a national trade association representing 11 PBMs, the Eastern District of Arkansas</w:t>
      </w:r>
      <w:r w:rsidR="00E557D2">
        <w:rPr>
          <w:rFonts w:eastAsia="Times New Roman" w:cs="Times New Roman"/>
          <w:szCs w:val="20"/>
        </w:rPr>
        <w:t xml:space="preserve"> </w:t>
      </w:r>
      <w:r w:rsidR="005F696F">
        <w:rPr>
          <w:rFonts w:eastAsia="Times New Roman" w:cs="Times New Roman"/>
          <w:szCs w:val="20"/>
        </w:rPr>
        <w:t xml:space="preserve">had </w:t>
      </w:r>
      <w:r w:rsidR="008C420E">
        <w:rPr>
          <w:rFonts w:eastAsia="Times New Roman" w:cs="Times New Roman"/>
          <w:szCs w:val="20"/>
        </w:rPr>
        <w:t>ruled that</w:t>
      </w:r>
      <w:r w:rsidR="00B247DB" w:rsidRPr="00B247DB">
        <w:rPr>
          <w:rFonts w:eastAsia="Times New Roman" w:cs="Times New Roman"/>
          <w:szCs w:val="20"/>
        </w:rPr>
        <w:t xml:space="preserve"> Act 900 was preempted by ERISA</w:t>
      </w:r>
      <w:r w:rsidR="00187447">
        <w:rPr>
          <w:rFonts w:eastAsia="Times New Roman" w:cs="Times New Roman"/>
          <w:szCs w:val="20"/>
        </w:rPr>
        <w:t>, and the Eighth Circuit affirmed</w:t>
      </w:r>
      <w:r w:rsidR="00A736DF">
        <w:rPr>
          <w:rFonts w:eastAsia="Times New Roman" w:cs="Times New Roman"/>
          <w:szCs w:val="20"/>
        </w:rPr>
        <w:t>.</w:t>
      </w:r>
      <w:r w:rsidR="00A736DF">
        <w:rPr>
          <w:rStyle w:val="FootnoteReference"/>
          <w:rFonts w:eastAsia="Times New Roman" w:cs="Times New Roman"/>
          <w:szCs w:val="20"/>
        </w:rPr>
        <w:footnoteReference w:id="2"/>
      </w:r>
      <w:r w:rsidR="00B247DB" w:rsidRPr="00B247DB">
        <w:rPr>
          <w:rFonts w:eastAsia="Times New Roman" w:cs="Times New Roman"/>
          <w:szCs w:val="20"/>
        </w:rPr>
        <w:t xml:space="preserve"> </w:t>
      </w:r>
      <w:r w:rsidR="004C6385">
        <w:rPr>
          <w:rFonts w:eastAsia="Times New Roman" w:cs="Times New Roman"/>
          <w:szCs w:val="20"/>
        </w:rPr>
        <w:t>Both courts relied on a recent Eight</w:t>
      </w:r>
      <w:r w:rsidR="004E39AD">
        <w:rPr>
          <w:rFonts w:eastAsia="Times New Roman" w:cs="Times New Roman"/>
          <w:szCs w:val="20"/>
        </w:rPr>
        <w:t>h Circuit decision striking down a similar Iowa law</w:t>
      </w:r>
      <w:r w:rsidR="004C6385">
        <w:rPr>
          <w:rFonts w:eastAsia="Times New Roman" w:cs="Times New Roman"/>
          <w:szCs w:val="20"/>
        </w:rPr>
        <w:t xml:space="preserve"> </w:t>
      </w:r>
      <w:r w:rsidR="00B247DB" w:rsidRPr="00B247DB">
        <w:rPr>
          <w:rFonts w:eastAsia="Times New Roman" w:cs="Times New Roman"/>
          <w:szCs w:val="20"/>
        </w:rPr>
        <w:t xml:space="preserve">because </w:t>
      </w:r>
      <w:r w:rsidR="004E39AD">
        <w:rPr>
          <w:rFonts w:eastAsia="Times New Roman" w:cs="Times New Roman"/>
          <w:szCs w:val="20"/>
        </w:rPr>
        <w:t>it</w:t>
      </w:r>
      <w:r w:rsidR="00B247DB" w:rsidRPr="00B247DB">
        <w:rPr>
          <w:rFonts w:eastAsia="Times New Roman" w:cs="Times New Roman"/>
          <w:szCs w:val="20"/>
        </w:rPr>
        <w:t xml:space="preserve"> “made ‘implicit reference’ to ERISA by regulating PBMs that administer benefits for ERISA plans”</w:t>
      </w:r>
      <w:r w:rsidR="00231FCA">
        <w:rPr>
          <w:rStyle w:val="FootnoteReference"/>
          <w:rFonts w:eastAsia="Times New Roman" w:cs="Times New Roman"/>
          <w:szCs w:val="20"/>
        </w:rPr>
        <w:footnoteReference w:id="3"/>
      </w:r>
      <w:r w:rsidR="00B247DB" w:rsidRPr="00B247DB">
        <w:rPr>
          <w:rFonts w:eastAsia="Times New Roman" w:cs="Times New Roman"/>
          <w:szCs w:val="20"/>
        </w:rPr>
        <w:t xml:space="preserve"> and “was impermissibly ‘connected with’ an ERISA plan because, by requiring an appeal process for pharmacies to challenge PBM reimbursement rates and restricting the sources from which PBMs could determine pricing, the law limited the plan administrator’s ability to control the calculation of drug benefits.</w:t>
      </w:r>
      <w:r w:rsidR="009B4BD5">
        <w:rPr>
          <w:rFonts w:eastAsia="Times New Roman" w:cs="Times New Roman"/>
          <w:szCs w:val="20"/>
        </w:rPr>
        <w:t>”</w:t>
      </w:r>
      <w:r w:rsidR="00E90F57">
        <w:rPr>
          <w:rStyle w:val="FootnoteReference"/>
          <w:rFonts w:eastAsia="Times New Roman" w:cs="Times New Roman"/>
          <w:szCs w:val="20"/>
        </w:rPr>
        <w:footnoteReference w:id="4"/>
      </w:r>
    </w:p>
    <w:p w14:paraId="23281ABC" w14:textId="77777777" w:rsidR="009A03F0" w:rsidRPr="00B247DB" w:rsidRDefault="009A03F0" w:rsidP="00B202BC">
      <w:pPr>
        <w:rPr>
          <w:rFonts w:eastAsia="Times New Roman" w:cs="Times New Roman"/>
          <w:szCs w:val="20"/>
        </w:rPr>
      </w:pPr>
    </w:p>
    <w:p w14:paraId="521FAF6C" w14:textId="371097E8" w:rsidR="00B247DB" w:rsidRDefault="00ED7592" w:rsidP="00B202BC">
      <w:pPr>
        <w:rPr>
          <w:rFonts w:eastAsia="Times New Roman" w:cs="Times New Roman"/>
          <w:szCs w:val="20"/>
        </w:rPr>
      </w:pPr>
      <w:r>
        <w:rPr>
          <w:rFonts w:eastAsia="Times New Roman" w:cs="Times New Roman"/>
          <w:szCs w:val="20"/>
        </w:rPr>
        <w:t>T</w:t>
      </w:r>
      <w:r w:rsidR="00B247DB" w:rsidRPr="00B247DB">
        <w:rPr>
          <w:rFonts w:eastAsia="Times New Roman" w:cs="Times New Roman"/>
          <w:szCs w:val="20"/>
        </w:rPr>
        <w:t>he Supreme Court</w:t>
      </w:r>
      <w:r w:rsidR="00581B1E">
        <w:rPr>
          <w:rFonts w:eastAsia="Times New Roman" w:cs="Times New Roman"/>
          <w:szCs w:val="20"/>
        </w:rPr>
        <w:t xml:space="preserve">, however, </w:t>
      </w:r>
      <w:r w:rsidR="00B60B83">
        <w:rPr>
          <w:rFonts w:eastAsia="Times New Roman" w:cs="Times New Roman"/>
          <w:szCs w:val="20"/>
        </w:rPr>
        <w:t xml:space="preserve">held that </w:t>
      </w:r>
      <w:r w:rsidR="00154835">
        <w:rPr>
          <w:rFonts w:eastAsia="Times New Roman" w:cs="Times New Roman"/>
          <w:szCs w:val="20"/>
        </w:rPr>
        <w:t xml:space="preserve">because </w:t>
      </w:r>
      <w:r w:rsidR="003446BA" w:rsidRPr="003446BA">
        <w:rPr>
          <w:rFonts w:eastAsia="Times New Roman" w:cs="Times New Roman"/>
          <w:szCs w:val="20"/>
        </w:rPr>
        <w:t xml:space="preserve">Act 900 </w:t>
      </w:r>
      <w:r w:rsidR="00DE7B7F">
        <w:rPr>
          <w:rFonts w:eastAsia="Times New Roman" w:cs="Times New Roman"/>
          <w:szCs w:val="20"/>
        </w:rPr>
        <w:t>“</w:t>
      </w:r>
      <w:r w:rsidR="003446BA" w:rsidRPr="003446BA">
        <w:rPr>
          <w:rFonts w:eastAsia="Times New Roman" w:cs="Times New Roman"/>
          <w:szCs w:val="20"/>
        </w:rPr>
        <w:t>regulates PBMs</w:t>
      </w:r>
      <w:r w:rsidR="003446BA">
        <w:rPr>
          <w:rFonts w:eastAsia="Times New Roman" w:cs="Times New Roman"/>
          <w:szCs w:val="20"/>
        </w:rPr>
        <w:t xml:space="preserve"> </w:t>
      </w:r>
      <w:r w:rsidR="003446BA" w:rsidRPr="003446BA">
        <w:rPr>
          <w:rFonts w:eastAsia="Times New Roman" w:cs="Times New Roman"/>
          <w:szCs w:val="20"/>
        </w:rPr>
        <w:t>whether or not the plans they service fall within</w:t>
      </w:r>
      <w:r w:rsidR="003446BA">
        <w:rPr>
          <w:rFonts w:eastAsia="Times New Roman" w:cs="Times New Roman"/>
          <w:szCs w:val="20"/>
        </w:rPr>
        <w:t xml:space="preserve"> </w:t>
      </w:r>
      <w:r w:rsidR="003446BA" w:rsidRPr="003446BA">
        <w:rPr>
          <w:rFonts w:eastAsia="Times New Roman" w:cs="Times New Roman"/>
          <w:szCs w:val="20"/>
        </w:rPr>
        <w:t>ERISA’s coverage</w:t>
      </w:r>
      <w:r w:rsidR="003446BA">
        <w:rPr>
          <w:rFonts w:eastAsia="Times New Roman" w:cs="Times New Roman"/>
          <w:szCs w:val="20"/>
        </w:rPr>
        <w:t>,</w:t>
      </w:r>
      <w:r w:rsidR="00DE7B7F">
        <w:rPr>
          <w:rFonts w:eastAsia="Times New Roman" w:cs="Times New Roman"/>
          <w:szCs w:val="20"/>
        </w:rPr>
        <w:t>”</w:t>
      </w:r>
      <w:r w:rsidR="003446BA">
        <w:rPr>
          <w:rFonts w:eastAsia="Times New Roman" w:cs="Times New Roman"/>
          <w:szCs w:val="20"/>
        </w:rPr>
        <w:t xml:space="preserve"> </w:t>
      </w:r>
      <w:r w:rsidR="00F62289">
        <w:rPr>
          <w:rFonts w:eastAsia="Times New Roman" w:cs="Times New Roman"/>
          <w:szCs w:val="20"/>
        </w:rPr>
        <w:t xml:space="preserve">it is </w:t>
      </w:r>
      <w:r w:rsidR="00F62289" w:rsidRPr="00F62289">
        <w:rPr>
          <w:rFonts w:eastAsia="Times New Roman" w:cs="Times New Roman"/>
          <w:szCs w:val="20"/>
        </w:rPr>
        <w:t>analogous to</w:t>
      </w:r>
      <w:r w:rsidR="00F62289">
        <w:rPr>
          <w:rFonts w:eastAsia="Times New Roman" w:cs="Times New Roman"/>
          <w:szCs w:val="20"/>
        </w:rPr>
        <w:t xml:space="preserve"> </w:t>
      </w:r>
      <w:r w:rsidR="00F62289" w:rsidRPr="00F62289">
        <w:rPr>
          <w:rFonts w:eastAsia="Times New Roman" w:cs="Times New Roman"/>
          <w:szCs w:val="20"/>
        </w:rPr>
        <w:t xml:space="preserve">the law </w:t>
      </w:r>
      <w:r w:rsidR="000411C6">
        <w:rPr>
          <w:rFonts w:eastAsia="Times New Roman" w:cs="Times New Roman"/>
          <w:szCs w:val="20"/>
        </w:rPr>
        <w:t xml:space="preserve">upheld by the Court </w:t>
      </w:r>
      <w:r w:rsidR="00F62289" w:rsidRPr="00F62289">
        <w:rPr>
          <w:rFonts w:eastAsia="Times New Roman" w:cs="Times New Roman"/>
          <w:szCs w:val="20"/>
        </w:rPr>
        <w:t xml:space="preserve">in </w:t>
      </w:r>
      <w:r w:rsidR="00F62289" w:rsidRPr="002B0CA9">
        <w:rPr>
          <w:rFonts w:eastAsia="Times New Roman" w:cs="Times New Roman"/>
          <w:i/>
          <w:iCs/>
          <w:szCs w:val="20"/>
        </w:rPr>
        <w:t>Travelers,</w:t>
      </w:r>
      <w:r w:rsidR="00F62289" w:rsidRPr="00F62289">
        <w:rPr>
          <w:rFonts w:eastAsia="Times New Roman" w:cs="Times New Roman"/>
          <w:szCs w:val="20"/>
        </w:rPr>
        <w:t xml:space="preserve"> </w:t>
      </w:r>
      <w:r w:rsidR="00D132E7">
        <w:rPr>
          <w:rFonts w:eastAsia="Times New Roman" w:cs="Times New Roman"/>
          <w:szCs w:val="20"/>
        </w:rPr>
        <w:t>“</w:t>
      </w:r>
      <w:r w:rsidR="00F62289" w:rsidRPr="00F62289">
        <w:rPr>
          <w:rFonts w:eastAsia="Times New Roman" w:cs="Times New Roman"/>
          <w:szCs w:val="20"/>
        </w:rPr>
        <w:t>which did not refer to ERISA plans</w:t>
      </w:r>
      <w:r w:rsidR="002B0CA9">
        <w:rPr>
          <w:rFonts w:eastAsia="Times New Roman" w:cs="Times New Roman"/>
          <w:szCs w:val="20"/>
        </w:rPr>
        <w:t xml:space="preserve"> </w:t>
      </w:r>
      <w:r w:rsidR="00F62289" w:rsidRPr="00F62289">
        <w:rPr>
          <w:rFonts w:eastAsia="Times New Roman" w:cs="Times New Roman"/>
          <w:szCs w:val="20"/>
        </w:rPr>
        <w:t xml:space="preserve">because it imposed surcharges </w:t>
      </w:r>
      <w:r w:rsidR="002B0CA9">
        <w:rPr>
          <w:rFonts w:eastAsia="Times New Roman" w:cs="Times New Roman"/>
          <w:szCs w:val="20"/>
        </w:rPr>
        <w:t>‘</w:t>
      </w:r>
      <w:r w:rsidR="00F62289" w:rsidRPr="00F62289">
        <w:rPr>
          <w:rFonts w:eastAsia="Times New Roman" w:cs="Times New Roman"/>
          <w:szCs w:val="20"/>
        </w:rPr>
        <w:t>regardless of whether</w:t>
      </w:r>
      <w:r w:rsidR="002B0CA9">
        <w:rPr>
          <w:rFonts w:eastAsia="Times New Roman" w:cs="Times New Roman"/>
          <w:szCs w:val="20"/>
        </w:rPr>
        <w:t xml:space="preserve"> </w:t>
      </w:r>
      <w:r w:rsidR="00F62289" w:rsidRPr="00F62289">
        <w:rPr>
          <w:rFonts w:eastAsia="Times New Roman" w:cs="Times New Roman"/>
          <w:szCs w:val="20"/>
        </w:rPr>
        <w:t>the commercial coverage [was] ultimately secured by an</w:t>
      </w:r>
      <w:r w:rsidR="002B0CA9">
        <w:rPr>
          <w:rFonts w:eastAsia="Times New Roman" w:cs="Times New Roman"/>
          <w:szCs w:val="20"/>
        </w:rPr>
        <w:t xml:space="preserve"> </w:t>
      </w:r>
      <w:r w:rsidR="00F62289" w:rsidRPr="00F62289">
        <w:rPr>
          <w:rFonts w:eastAsia="Times New Roman" w:cs="Times New Roman"/>
          <w:szCs w:val="20"/>
        </w:rPr>
        <w:t>ERISA plan, private purchase, or otherwise.</w:t>
      </w:r>
      <w:r w:rsidR="00F62289">
        <w:rPr>
          <w:rFonts w:eastAsia="Times New Roman" w:cs="Times New Roman"/>
          <w:szCs w:val="20"/>
        </w:rPr>
        <w:t>”</w:t>
      </w:r>
      <w:r w:rsidR="00BA0102">
        <w:rPr>
          <w:rStyle w:val="FootnoteReference"/>
          <w:rFonts w:eastAsia="Times New Roman" w:cs="Times New Roman"/>
          <w:szCs w:val="20"/>
        </w:rPr>
        <w:footnoteReference w:id="5"/>
      </w:r>
      <w:r w:rsidR="002B0CA9">
        <w:rPr>
          <w:rFonts w:eastAsia="Times New Roman" w:cs="Times New Roman"/>
          <w:szCs w:val="20"/>
        </w:rPr>
        <w:t xml:space="preserve"> </w:t>
      </w:r>
      <w:r w:rsidR="000102CA">
        <w:rPr>
          <w:rFonts w:eastAsia="Times New Roman" w:cs="Times New Roman"/>
          <w:szCs w:val="20"/>
        </w:rPr>
        <w:t>T</w:t>
      </w:r>
      <w:r w:rsidR="00B247DB" w:rsidRPr="00B247DB">
        <w:rPr>
          <w:rFonts w:eastAsia="Times New Roman" w:cs="Times New Roman"/>
          <w:szCs w:val="20"/>
        </w:rPr>
        <w:t xml:space="preserve">he Court held that </w:t>
      </w:r>
      <w:r w:rsidR="000102CA">
        <w:rPr>
          <w:rFonts w:eastAsia="Times New Roman" w:cs="Times New Roman"/>
          <w:szCs w:val="20"/>
        </w:rPr>
        <w:t xml:space="preserve">under </w:t>
      </w:r>
      <w:r w:rsidR="000102CA">
        <w:rPr>
          <w:rFonts w:eastAsia="Times New Roman" w:cs="Times New Roman"/>
          <w:i/>
          <w:iCs/>
          <w:szCs w:val="20"/>
        </w:rPr>
        <w:t>Travelers</w:t>
      </w:r>
      <w:r w:rsidR="00C70460">
        <w:rPr>
          <w:rFonts w:eastAsia="Times New Roman" w:cs="Times New Roman"/>
          <w:i/>
          <w:iCs/>
          <w:szCs w:val="20"/>
        </w:rPr>
        <w:t>,</w:t>
      </w:r>
      <w:r w:rsidR="00B247DB" w:rsidRPr="00B247DB">
        <w:rPr>
          <w:rFonts w:eastAsia="Times New Roman" w:cs="Times New Roman"/>
          <w:szCs w:val="20"/>
        </w:rPr>
        <w:t xml:space="preserve"> </w:t>
      </w:r>
      <w:r w:rsidR="00C300C9">
        <w:rPr>
          <w:rFonts w:eastAsia="Times New Roman" w:cs="Times New Roman"/>
          <w:szCs w:val="20"/>
        </w:rPr>
        <w:t>“S</w:t>
      </w:r>
      <w:r w:rsidR="00B247DB" w:rsidRPr="00B247DB">
        <w:rPr>
          <w:rFonts w:eastAsia="Times New Roman" w:cs="Times New Roman"/>
          <w:szCs w:val="20"/>
        </w:rPr>
        <w:t>tate rate regulations that merely increase costs or alter incentives for ERISA plans without forcing plans to adopt any particular scheme of substantive coverage</w:t>
      </w:r>
      <w:r w:rsidR="00C300C9">
        <w:rPr>
          <w:rFonts w:eastAsia="Times New Roman" w:cs="Times New Roman"/>
          <w:szCs w:val="20"/>
        </w:rPr>
        <w:t xml:space="preserve"> are not preempted by ERISA</w:t>
      </w:r>
      <w:r w:rsidR="00B247DB" w:rsidRPr="00B247DB">
        <w:rPr>
          <w:rFonts w:eastAsia="Times New Roman" w:cs="Times New Roman"/>
          <w:szCs w:val="20"/>
        </w:rPr>
        <w:t>.”</w:t>
      </w:r>
      <w:r w:rsidR="00070179">
        <w:rPr>
          <w:rStyle w:val="FootnoteReference"/>
          <w:rFonts w:eastAsia="Times New Roman" w:cs="Times New Roman"/>
          <w:szCs w:val="20"/>
        </w:rPr>
        <w:footnoteReference w:id="6"/>
      </w:r>
    </w:p>
    <w:p w14:paraId="1E63DC89" w14:textId="77777777" w:rsidR="009A03F0" w:rsidRPr="00B247DB" w:rsidRDefault="009A03F0" w:rsidP="00B202BC">
      <w:pPr>
        <w:rPr>
          <w:rFonts w:eastAsia="Times New Roman" w:cs="Times New Roman"/>
          <w:szCs w:val="20"/>
        </w:rPr>
      </w:pPr>
    </w:p>
    <w:p w14:paraId="2499B2C7" w14:textId="5ADF2861" w:rsidR="00B247DB" w:rsidRPr="001E33EF" w:rsidRDefault="00452504" w:rsidP="00B202BC">
      <w:pPr>
        <w:rPr>
          <w:rFonts w:eastAsia="Times New Roman" w:cs="Times New Roman"/>
          <w:szCs w:val="20"/>
        </w:rPr>
      </w:pPr>
      <w:r>
        <w:rPr>
          <w:rFonts w:eastAsia="Times New Roman" w:cs="Times New Roman"/>
          <w:szCs w:val="20"/>
        </w:rPr>
        <w:t>The Court rejected</w:t>
      </w:r>
      <w:r w:rsidRPr="00B247DB">
        <w:rPr>
          <w:rFonts w:eastAsia="Times New Roman" w:cs="Times New Roman"/>
          <w:szCs w:val="20"/>
        </w:rPr>
        <w:t xml:space="preserve"> PCMA</w:t>
      </w:r>
      <w:r>
        <w:rPr>
          <w:rFonts w:eastAsia="Times New Roman" w:cs="Times New Roman"/>
          <w:szCs w:val="20"/>
        </w:rPr>
        <w:t>’s contention “</w:t>
      </w:r>
      <w:r w:rsidRPr="00B247DB">
        <w:rPr>
          <w:rFonts w:eastAsia="Times New Roman" w:cs="Times New Roman"/>
          <w:szCs w:val="20"/>
        </w:rPr>
        <w:t xml:space="preserve">that Act 900 has an impermissible connection with </w:t>
      </w:r>
      <w:r>
        <w:rPr>
          <w:rFonts w:eastAsia="Times New Roman" w:cs="Times New Roman"/>
          <w:szCs w:val="20"/>
        </w:rPr>
        <w:t xml:space="preserve">an </w:t>
      </w:r>
      <w:r w:rsidRPr="00B247DB">
        <w:rPr>
          <w:rFonts w:eastAsia="Times New Roman" w:cs="Times New Roman"/>
          <w:szCs w:val="20"/>
        </w:rPr>
        <w:t xml:space="preserve">ERISA </w:t>
      </w:r>
      <w:r>
        <w:rPr>
          <w:rFonts w:eastAsia="Times New Roman" w:cs="Times New Roman"/>
          <w:szCs w:val="20"/>
        </w:rPr>
        <w:t xml:space="preserve">plan </w:t>
      </w:r>
      <w:r w:rsidRPr="00B247DB">
        <w:rPr>
          <w:rFonts w:eastAsia="Times New Roman" w:cs="Times New Roman"/>
          <w:szCs w:val="20"/>
        </w:rPr>
        <w:t xml:space="preserve">because </w:t>
      </w:r>
      <w:r>
        <w:rPr>
          <w:rFonts w:eastAsia="Times New Roman" w:cs="Times New Roman"/>
          <w:szCs w:val="20"/>
        </w:rPr>
        <w:t>its enforcement mechanisms both</w:t>
      </w:r>
      <w:r w:rsidRPr="00B247DB">
        <w:rPr>
          <w:rFonts w:eastAsia="Times New Roman" w:cs="Times New Roman"/>
          <w:szCs w:val="20"/>
        </w:rPr>
        <w:t xml:space="preserve"> directly affect central matters of plan administration and interfere with nationally uniform plan administration.</w:t>
      </w:r>
      <w:r>
        <w:rPr>
          <w:rFonts w:eastAsia="Times New Roman" w:cs="Times New Roman"/>
          <w:szCs w:val="20"/>
        </w:rPr>
        <w:t>”</w:t>
      </w:r>
      <w:r>
        <w:rPr>
          <w:rStyle w:val="FootnoteReference"/>
          <w:rFonts w:eastAsia="Times New Roman" w:cs="Times New Roman"/>
          <w:szCs w:val="20"/>
        </w:rPr>
        <w:footnoteReference w:id="7"/>
      </w:r>
      <w:r w:rsidR="0036406E">
        <w:rPr>
          <w:rFonts w:eastAsia="Times New Roman" w:cs="Times New Roman"/>
          <w:szCs w:val="20"/>
        </w:rPr>
        <w:t xml:space="preserve"> </w:t>
      </w:r>
      <w:r w:rsidR="002D6D82">
        <w:rPr>
          <w:rFonts w:eastAsia="Times New Roman" w:cs="Times New Roman"/>
          <w:szCs w:val="20"/>
        </w:rPr>
        <w:t>T</w:t>
      </w:r>
      <w:r w:rsidR="00B247DB" w:rsidRPr="00B247DB">
        <w:rPr>
          <w:rFonts w:eastAsia="Times New Roman" w:cs="Times New Roman"/>
          <w:szCs w:val="20"/>
        </w:rPr>
        <w:t xml:space="preserve">he Court </w:t>
      </w:r>
      <w:r w:rsidR="002D6D82">
        <w:rPr>
          <w:rFonts w:eastAsia="Times New Roman" w:cs="Times New Roman"/>
          <w:szCs w:val="20"/>
        </w:rPr>
        <w:t xml:space="preserve">acknowledged </w:t>
      </w:r>
      <w:r w:rsidR="00772CEE">
        <w:rPr>
          <w:rFonts w:eastAsia="Times New Roman" w:cs="Times New Roman"/>
          <w:szCs w:val="20"/>
        </w:rPr>
        <w:t xml:space="preserve">that </w:t>
      </w:r>
      <w:r w:rsidR="00B247DB" w:rsidRPr="00B247DB">
        <w:rPr>
          <w:rFonts w:eastAsia="Times New Roman" w:cs="Times New Roman"/>
          <w:szCs w:val="20"/>
        </w:rPr>
        <w:t xml:space="preserve">Act 900 required </w:t>
      </w:r>
      <w:r w:rsidR="007143B9">
        <w:rPr>
          <w:rFonts w:eastAsia="Times New Roman" w:cs="Times New Roman"/>
          <w:szCs w:val="20"/>
        </w:rPr>
        <w:t xml:space="preserve">ERISA </w:t>
      </w:r>
      <w:r w:rsidR="00B247DB" w:rsidRPr="00B247DB">
        <w:rPr>
          <w:rFonts w:eastAsia="Times New Roman" w:cs="Times New Roman"/>
          <w:szCs w:val="20"/>
        </w:rPr>
        <w:t>plan administrators to “comply with a particular process” and standards,</w:t>
      </w:r>
      <w:r w:rsidR="00C82BDE">
        <w:rPr>
          <w:rStyle w:val="FootnoteReference"/>
          <w:rFonts w:eastAsia="Times New Roman" w:cs="Times New Roman"/>
          <w:szCs w:val="20"/>
        </w:rPr>
        <w:footnoteReference w:id="8"/>
      </w:r>
      <w:r w:rsidR="00B247DB" w:rsidRPr="00B247DB">
        <w:rPr>
          <w:rFonts w:eastAsia="Times New Roman" w:cs="Times New Roman"/>
          <w:szCs w:val="20"/>
        </w:rPr>
        <w:t xml:space="preserve"> </w:t>
      </w:r>
      <w:r w:rsidR="002C37A6">
        <w:rPr>
          <w:rFonts w:eastAsia="Times New Roman" w:cs="Times New Roman"/>
          <w:szCs w:val="20"/>
        </w:rPr>
        <w:t>but explained that those</w:t>
      </w:r>
      <w:r w:rsidR="002C37A6" w:rsidRPr="00B247DB">
        <w:rPr>
          <w:rFonts w:eastAsia="Times New Roman" w:cs="Times New Roman"/>
          <w:szCs w:val="20"/>
        </w:rPr>
        <w:t xml:space="preserve"> </w:t>
      </w:r>
      <w:r w:rsidR="00B247DB" w:rsidRPr="00B247DB">
        <w:rPr>
          <w:rFonts w:eastAsia="Times New Roman" w:cs="Times New Roman"/>
          <w:szCs w:val="20"/>
        </w:rPr>
        <w:t>enforcement mechanisms “do not require plan administrators to structure their benefit plans in any particular manner, nor do they lead to anything more than potential operational inefficiencies” for PBMs.</w:t>
      </w:r>
      <w:r w:rsidR="00C414F8">
        <w:rPr>
          <w:rStyle w:val="FootnoteReference"/>
          <w:rFonts w:eastAsia="Times New Roman" w:cs="Times New Roman"/>
          <w:szCs w:val="20"/>
        </w:rPr>
        <w:footnoteReference w:id="9"/>
      </w:r>
      <w:r w:rsidR="00B247DB" w:rsidRPr="00B247DB">
        <w:rPr>
          <w:rFonts w:eastAsia="Times New Roman" w:cs="Times New Roman"/>
          <w:szCs w:val="20"/>
        </w:rPr>
        <w:t xml:space="preserve"> </w:t>
      </w:r>
      <w:r w:rsidR="007F1B05" w:rsidRPr="006815F3">
        <w:rPr>
          <w:rFonts w:eastAsia="Times New Roman" w:cs="Times New Roman"/>
          <w:szCs w:val="20"/>
        </w:rPr>
        <w:t>T</w:t>
      </w:r>
      <w:r w:rsidR="00B247DB" w:rsidRPr="00B247DB">
        <w:rPr>
          <w:rFonts w:eastAsia="Times New Roman" w:cs="Times New Roman"/>
          <w:szCs w:val="20"/>
        </w:rPr>
        <w:t>he Court emphasized that State law governs disputes between plans and providers.</w:t>
      </w:r>
      <w:r w:rsidR="007F1B05">
        <w:rPr>
          <w:rStyle w:val="FootnoteReference"/>
          <w:rFonts w:eastAsia="Times New Roman" w:cs="Times New Roman"/>
          <w:szCs w:val="20"/>
        </w:rPr>
        <w:footnoteReference w:id="10"/>
      </w:r>
      <w:r w:rsidR="00B247DB" w:rsidRPr="00B247DB">
        <w:rPr>
          <w:rFonts w:eastAsia="Times New Roman" w:cs="Times New Roman"/>
          <w:szCs w:val="20"/>
        </w:rPr>
        <w:t xml:space="preserve"> </w:t>
      </w:r>
      <w:r w:rsidR="00E96D6D">
        <w:rPr>
          <w:rFonts w:eastAsia="Times New Roman" w:cs="Times New Roman"/>
          <w:szCs w:val="20"/>
        </w:rPr>
        <w:t>T</w:t>
      </w:r>
      <w:r w:rsidR="00B247DB" w:rsidRPr="00B247DB">
        <w:rPr>
          <w:rFonts w:eastAsia="Times New Roman" w:cs="Times New Roman"/>
          <w:szCs w:val="20"/>
        </w:rPr>
        <w:t>he Court held</w:t>
      </w:r>
      <w:r w:rsidR="00E96D6D">
        <w:rPr>
          <w:rFonts w:eastAsia="Times New Roman" w:cs="Times New Roman"/>
          <w:szCs w:val="20"/>
        </w:rPr>
        <w:t xml:space="preserve"> further that</w:t>
      </w:r>
      <w:r w:rsidR="00B247DB" w:rsidRPr="00B247DB">
        <w:rPr>
          <w:rFonts w:eastAsia="Times New Roman" w:cs="Times New Roman"/>
          <w:szCs w:val="20"/>
        </w:rPr>
        <w:t xml:space="preserve"> ERISA did not </w:t>
      </w:r>
      <w:r w:rsidR="00B247DB" w:rsidRPr="00B247DB">
        <w:rPr>
          <w:rFonts w:eastAsia="Times New Roman" w:cs="Times New Roman"/>
          <w:szCs w:val="20"/>
        </w:rPr>
        <w:lastRenderedPageBreak/>
        <w:t>preempt Act 900’s decline-to-dispense provision, even though it “effectively denies plan beneficiaries their benefits”</w:t>
      </w:r>
      <w:r w:rsidR="00483776">
        <w:rPr>
          <w:rFonts w:eastAsia="Times New Roman" w:cs="Times New Roman"/>
          <w:szCs w:val="20"/>
        </w:rPr>
        <w:t xml:space="preserve"> because any denial of benefits </w:t>
      </w:r>
      <w:r w:rsidR="00845AB5">
        <w:rPr>
          <w:rFonts w:eastAsia="Times New Roman" w:cs="Times New Roman"/>
          <w:szCs w:val="20"/>
        </w:rPr>
        <w:t>would be</w:t>
      </w:r>
      <w:r w:rsidR="0014061F">
        <w:rPr>
          <w:rFonts w:eastAsia="Times New Roman" w:cs="Times New Roman"/>
          <w:szCs w:val="20"/>
        </w:rPr>
        <w:t xml:space="preserve"> the consequence of </w:t>
      </w:r>
      <w:r w:rsidR="00845AB5">
        <w:rPr>
          <w:rFonts w:eastAsia="Times New Roman" w:cs="Times New Roman"/>
          <w:szCs w:val="20"/>
        </w:rPr>
        <w:t xml:space="preserve">the lawful state regulation of </w:t>
      </w:r>
      <w:r w:rsidR="001E33EF">
        <w:rPr>
          <w:rFonts w:eastAsia="Times New Roman" w:cs="Times New Roman"/>
          <w:szCs w:val="20"/>
        </w:rPr>
        <w:t xml:space="preserve">reimbursement rates and the PBM’s </w:t>
      </w:r>
      <w:r w:rsidR="0014061F">
        <w:rPr>
          <w:rFonts w:eastAsia="Times New Roman" w:cs="Times New Roman"/>
          <w:szCs w:val="20"/>
        </w:rPr>
        <w:t xml:space="preserve">refusal to </w:t>
      </w:r>
      <w:r w:rsidR="001E33EF">
        <w:rPr>
          <w:rFonts w:eastAsia="Times New Roman" w:cs="Times New Roman"/>
          <w:szCs w:val="20"/>
        </w:rPr>
        <w:t>comply.</w:t>
      </w:r>
      <w:r w:rsidR="00E74683">
        <w:rPr>
          <w:rStyle w:val="FootnoteReference"/>
          <w:rFonts w:eastAsia="Times New Roman" w:cs="Times New Roman"/>
          <w:i/>
          <w:iCs/>
          <w:szCs w:val="20"/>
        </w:rPr>
        <w:footnoteReference w:id="11"/>
      </w:r>
    </w:p>
    <w:p w14:paraId="58D3B868" w14:textId="77777777" w:rsidR="009A03F0" w:rsidRPr="00B247DB" w:rsidRDefault="009A03F0" w:rsidP="00B202BC">
      <w:pPr>
        <w:rPr>
          <w:rFonts w:eastAsia="Times New Roman" w:cs="Times New Roman"/>
          <w:szCs w:val="20"/>
        </w:rPr>
      </w:pPr>
    </w:p>
    <w:p w14:paraId="376C4F64" w14:textId="112BEA20" w:rsidR="00B247DB" w:rsidRDefault="00B247DB" w:rsidP="00B202BC">
      <w:pPr>
        <w:rPr>
          <w:rFonts w:eastAsia="Times New Roman" w:cs="Times New Roman"/>
          <w:szCs w:val="20"/>
        </w:rPr>
      </w:pPr>
      <w:r w:rsidRPr="00B247DB">
        <w:rPr>
          <w:rFonts w:eastAsia="Times New Roman" w:cs="Times New Roman"/>
          <w:szCs w:val="20"/>
        </w:rPr>
        <w:t>Finally, the Court rejected PCMA’s claim that the law had an impermissible “reference to” ERISA. As the Court explained, Act 900 “applies to PBMs whether or not they manage an ERISA plan,” and Act 900 did not treat ERISA plans differently than non-ERISA plans.</w:t>
      </w:r>
      <w:r w:rsidR="00724963">
        <w:rPr>
          <w:rStyle w:val="FootnoteReference"/>
          <w:rFonts w:eastAsia="Times New Roman" w:cs="Times New Roman"/>
          <w:szCs w:val="20"/>
        </w:rPr>
        <w:footnoteReference w:id="12"/>
      </w:r>
    </w:p>
    <w:p w14:paraId="3DDA05A3" w14:textId="77777777" w:rsidR="009A03F0" w:rsidRPr="00B247DB" w:rsidRDefault="009A03F0" w:rsidP="00B202BC">
      <w:pPr>
        <w:rPr>
          <w:rFonts w:eastAsia="Times New Roman" w:cs="Times New Roman"/>
          <w:szCs w:val="20"/>
        </w:rPr>
      </w:pPr>
    </w:p>
    <w:p w14:paraId="73956E06" w14:textId="4B9A63DF" w:rsidR="00507FD5" w:rsidRPr="00CE0A42" w:rsidRDefault="009C4287" w:rsidP="00B202BC">
      <w:r>
        <w:rPr>
          <w:rFonts w:eastAsia="Times New Roman" w:cs="Times New Roman"/>
          <w:szCs w:val="20"/>
        </w:rPr>
        <w:t xml:space="preserve">However, </w:t>
      </w:r>
      <w:r>
        <w:rPr>
          <w:rFonts w:eastAsia="Times New Roman" w:cs="Times New Roman"/>
          <w:i/>
          <w:iCs/>
          <w:szCs w:val="20"/>
        </w:rPr>
        <w:t>Rutledge</w:t>
      </w:r>
      <w:r>
        <w:rPr>
          <w:rFonts w:eastAsia="Times New Roman" w:cs="Times New Roman"/>
          <w:szCs w:val="20"/>
        </w:rPr>
        <w:t xml:space="preserve"> does not </w:t>
      </w:r>
      <w:r w:rsidR="00B31D3A">
        <w:rPr>
          <w:rFonts w:eastAsia="Times New Roman" w:cs="Times New Roman"/>
          <w:szCs w:val="20"/>
        </w:rPr>
        <w:t>represent an open-ended approval of state pharmacy benefit regulation</w:t>
      </w:r>
      <w:r w:rsidR="00AE7E9A">
        <w:rPr>
          <w:rFonts w:eastAsia="Times New Roman" w:cs="Times New Roman"/>
          <w:szCs w:val="20"/>
        </w:rPr>
        <w:t xml:space="preserve"> in general</w:t>
      </w:r>
      <w:r w:rsidR="00B31D3A">
        <w:rPr>
          <w:rFonts w:eastAsia="Times New Roman" w:cs="Times New Roman"/>
          <w:szCs w:val="20"/>
        </w:rPr>
        <w:t>.</w:t>
      </w:r>
      <w:r w:rsidR="00E47036">
        <w:rPr>
          <w:rFonts w:eastAsia="Times New Roman" w:cs="Times New Roman"/>
          <w:szCs w:val="20"/>
        </w:rPr>
        <w:t xml:space="preserve"> </w:t>
      </w:r>
      <w:r w:rsidR="00F16054">
        <w:rPr>
          <w:rFonts w:eastAsia="Times New Roman" w:cs="Times New Roman"/>
          <w:szCs w:val="20"/>
        </w:rPr>
        <w:t>T</w:t>
      </w:r>
      <w:r w:rsidR="00B247DB" w:rsidRPr="00B247DB">
        <w:rPr>
          <w:rFonts w:eastAsia="Times New Roman" w:cs="Times New Roman"/>
          <w:szCs w:val="20"/>
        </w:rPr>
        <w:t xml:space="preserve">he Court only considered the provisions of </w:t>
      </w:r>
      <w:r w:rsidR="00F16054">
        <w:rPr>
          <w:rFonts w:eastAsia="Times New Roman" w:cs="Times New Roman"/>
          <w:szCs w:val="20"/>
        </w:rPr>
        <w:t>the Arkansas PBM law as they stood</w:t>
      </w:r>
      <w:r w:rsidR="00B247DB" w:rsidRPr="00B247DB">
        <w:rPr>
          <w:rFonts w:eastAsia="Times New Roman" w:cs="Times New Roman"/>
          <w:szCs w:val="20"/>
        </w:rPr>
        <w:t xml:space="preserve"> at the time </w:t>
      </w:r>
      <w:r w:rsidR="00E47036">
        <w:rPr>
          <w:rFonts w:eastAsia="Times New Roman" w:cs="Times New Roman"/>
          <w:szCs w:val="20"/>
        </w:rPr>
        <w:t xml:space="preserve">PCMA </w:t>
      </w:r>
      <w:r w:rsidR="00D77E62">
        <w:rPr>
          <w:rFonts w:eastAsia="Times New Roman" w:cs="Times New Roman"/>
          <w:szCs w:val="20"/>
        </w:rPr>
        <w:t>filed its preemption challenge</w:t>
      </w:r>
      <w:r w:rsidR="00CE0A42">
        <w:rPr>
          <w:rFonts w:eastAsia="Times New Roman" w:cs="Times New Roman"/>
          <w:szCs w:val="20"/>
        </w:rPr>
        <w:t xml:space="preserve">. While </w:t>
      </w:r>
      <w:r w:rsidR="00CE0A42">
        <w:rPr>
          <w:rFonts w:eastAsia="Times New Roman" w:cs="Times New Roman"/>
          <w:i/>
          <w:iCs/>
          <w:szCs w:val="20"/>
        </w:rPr>
        <w:t>Rutledge</w:t>
      </w:r>
      <w:r w:rsidR="00CE0A42">
        <w:rPr>
          <w:rFonts w:eastAsia="Times New Roman" w:cs="Times New Roman"/>
          <w:szCs w:val="20"/>
        </w:rPr>
        <w:t xml:space="preserve"> was making its way through the appellate courts, Arkansas amended its PBM law to add new requirements and prohibitions, so it is important that </w:t>
      </w:r>
      <w:r w:rsidR="00CE0A42">
        <w:rPr>
          <w:rFonts w:eastAsia="Times New Roman" w:cs="Times New Roman"/>
          <w:i/>
          <w:iCs/>
          <w:szCs w:val="20"/>
        </w:rPr>
        <w:t>Rutledge</w:t>
      </w:r>
      <w:r w:rsidR="00CE0A42">
        <w:rPr>
          <w:rFonts w:eastAsia="Times New Roman" w:cs="Times New Roman"/>
          <w:szCs w:val="20"/>
        </w:rPr>
        <w:t xml:space="preserve"> not be read as a finding that the Court analyzed Arkansas’ PBM law as it existed in 2020.</w:t>
      </w:r>
      <w:r w:rsidR="00D77E62">
        <w:rPr>
          <w:rFonts w:eastAsia="Times New Roman" w:cs="Times New Roman"/>
          <w:szCs w:val="20"/>
        </w:rPr>
        <w:t xml:space="preserve"> </w:t>
      </w:r>
      <w:r w:rsidR="00CE0A42">
        <w:rPr>
          <w:rFonts w:eastAsia="Times New Roman" w:cs="Times New Roman"/>
          <w:szCs w:val="20"/>
        </w:rPr>
        <w:t xml:space="preserve">Additionally, the Court </w:t>
      </w:r>
      <w:r w:rsidR="00773018">
        <w:rPr>
          <w:rFonts w:eastAsia="Times New Roman" w:cs="Times New Roman"/>
          <w:szCs w:val="20"/>
        </w:rPr>
        <w:t>did not address issue</w:t>
      </w:r>
      <w:r w:rsidR="00CE0A42">
        <w:rPr>
          <w:rFonts w:eastAsia="Times New Roman" w:cs="Times New Roman"/>
          <w:szCs w:val="20"/>
        </w:rPr>
        <w:t>s</w:t>
      </w:r>
      <w:r w:rsidR="00773018">
        <w:rPr>
          <w:rFonts w:eastAsia="Times New Roman" w:cs="Times New Roman"/>
          <w:szCs w:val="20"/>
        </w:rPr>
        <w:t xml:space="preserve"> </w:t>
      </w:r>
      <w:r w:rsidR="005C0F4E">
        <w:rPr>
          <w:rFonts w:eastAsia="Times New Roman" w:cs="Times New Roman"/>
          <w:szCs w:val="20"/>
        </w:rPr>
        <w:t xml:space="preserve">that have been </w:t>
      </w:r>
      <w:r w:rsidR="00773018">
        <w:rPr>
          <w:rFonts w:eastAsia="Times New Roman" w:cs="Times New Roman"/>
          <w:szCs w:val="20"/>
        </w:rPr>
        <w:t>raised by</w:t>
      </w:r>
      <w:r w:rsidR="00B247DB" w:rsidRPr="00B247DB">
        <w:rPr>
          <w:rFonts w:eastAsia="Times New Roman" w:cs="Times New Roman"/>
          <w:szCs w:val="20"/>
        </w:rPr>
        <w:t xml:space="preserve"> other State PBM-pharmacy laws, including laws regulating networks, prohibitions and limitations on corporate practice of medicine, and laws regulating what pharmacies may discuss with their patients.</w:t>
      </w:r>
      <w:r w:rsidR="00CE0A42">
        <w:rPr>
          <w:rFonts w:eastAsia="Times New Roman" w:cs="Times New Roman"/>
          <w:szCs w:val="20"/>
        </w:rPr>
        <w:t xml:space="preserve">  The </w:t>
      </w:r>
      <w:r w:rsidR="00CE0A42">
        <w:rPr>
          <w:rFonts w:eastAsia="Times New Roman" w:cs="Times New Roman"/>
          <w:i/>
          <w:iCs/>
          <w:szCs w:val="20"/>
        </w:rPr>
        <w:t>Rutledge</w:t>
      </w:r>
      <w:r w:rsidR="00CE0A42">
        <w:rPr>
          <w:rFonts w:eastAsia="Times New Roman" w:cs="Times New Roman"/>
          <w:szCs w:val="20"/>
        </w:rPr>
        <w:t xml:space="preserve"> decision has opened the door to additional ERISA challenges, which</w:t>
      </w:r>
      <w:r w:rsidR="006E7645">
        <w:rPr>
          <w:rFonts w:eastAsia="Times New Roman" w:cs="Times New Roman"/>
          <w:szCs w:val="20"/>
        </w:rPr>
        <w:t>, at the time of this writing</w:t>
      </w:r>
      <w:r w:rsidR="00CE0A42">
        <w:rPr>
          <w:rFonts w:eastAsia="Times New Roman" w:cs="Times New Roman"/>
          <w:szCs w:val="20"/>
        </w:rPr>
        <w:t xml:space="preserve"> are making their way through the courts.  </w:t>
      </w:r>
    </w:p>
    <w:sectPr w:rsidR="00507FD5" w:rsidRPr="00CE0A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4EE0E" w14:textId="77777777" w:rsidR="00056387" w:rsidRDefault="00056387" w:rsidP="00F54A2C">
      <w:r>
        <w:separator/>
      </w:r>
    </w:p>
  </w:endnote>
  <w:endnote w:type="continuationSeparator" w:id="0">
    <w:p w14:paraId="6F229B20" w14:textId="77777777" w:rsidR="00056387" w:rsidRDefault="00056387" w:rsidP="00F54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605C3" w14:textId="77777777" w:rsidR="00056387" w:rsidRDefault="00056387" w:rsidP="00F54A2C">
      <w:r>
        <w:separator/>
      </w:r>
    </w:p>
  </w:footnote>
  <w:footnote w:type="continuationSeparator" w:id="0">
    <w:p w14:paraId="0AB08D7E" w14:textId="77777777" w:rsidR="00056387" w:rsidRDefault="00056387" w:rsidP="00F54A2C">
      <w:r>
        <w:continuationSeparator/>
      </w:r>
    </w:p>
  </w:footnote>
  <w:footnote w:id="1">
    <w:p w14:paraId="55FC9021" w14:textId="34336152" w:rsidR="00F54A2C" w:rsidRDefault="00F54A2C">
      <w:pPr>
        <w:pStyle w:val="FootnoteText"/>
      </w:pPr>
      <w:r>
        <w:rPr>
          <w:rStyle w:val="FootnoteReference"/>
        </w:rPr>
        <w:footnoteRef/>
      </w:r>
      <w:r>
        <w:t xml:space="preserve"> </w:t>
      </w:r>
      <w:r w:rsidR="00730366">
        <w:t>As the term is spelled in Act 900</w:t>
      </w:r>
      <w:r w:rsidR="006B7E42">
        <w:t>. Supreme Court style refers to “pharmacy benefit managers.”</w:t>
      </w:r>
    </w:p>
  </w:footnote>
  <w:footnote w:id="2">
    <w:p w14:paraId="038104F4" w14:textId="5724B51A" w:rsidR="00A736DF" w:rsidRDefault="00A736DF">
      <w:pPr>
        <w:pStyle w:val="FootnoteText"/>
      </w:pPr>
      <w:r>
        <w:rPr>
          <w:rStyle w:val="FootnoteReference"/>
        </w:rPr>
        <w:footnoteRef/>
      </w:r>
      <w:r>
        <w:t xml:space="preserve"> </w:t>
      </w:r>
      <w:r w:rsidR="001373BA" w:rsidRPr="001373BA">
        <w:rPr>
          <w:i/>
          <w:iCs/>
        </w:rPr>
        <w:t>PCMA v. Rutledge,</w:t>
      </w:r>
      <w:r w:rsidR="001373BA" w:rsidRPr="001373BA">
        <w:t xml:space="preserve"> 891 F.3d 1109</w:t>
      </w:r>
      <w:r w:rsidR="001373BA">
        <w:t xml:space="preserve"> (8</w:t>
      </w:r>
      <w:r w:rsidR="001373BA" w:rsidRPr="00CA4E0D">
        <w:rPr>
          <w:vertAlign w:val="superscript"/>
        </w:rPr>
        <w:t>th</w:t>
      </w:r>
      <w:r w:rsidR="001373BA">
        <w:t xml:space="preserve"> Cir. 2018)</w:t>
      </w:r>
      <w:r w:rsidR="001B2807">
        <w:t>.</w:t>
      </w:r>
    </w:p>
  </w:footnote>
  <w:footnote w:id="3">
    <w:p w14:paraId="45AB8793" w14:textId="0EB3CAA2" w:rsidR="00231FCA" w:rsidRDefault="00231FCA">
      <w:pPr>
        <w:pStyle w:val="FootnoteText"/>
      </w:pPr>
      <w:r>
        <w:rPr>
          <w:rStyle w:val="FootnoteReference"/>
        </w:rPr>
        <w:footnoteRef/>
      </w:r>
      <w:r>
        <w:t xml:space="preserve"> </w:t>
      </w:r>
      <w:r w:rsidR="0012642E">
        <w:t xml:space="preserve">141 </w:t>
      </w:r>
      <w:proofErr w:type="spellStart"/>
      <w:r w:rsidR="0012642E">
        <w:t>S.Ct</w:t>
      </w:r>
      <w:proofErr w:type="spellEnd"/>
      <w:r w:rsidR="0012642E">
        <w:t>. at 479</w:t>
      </w:r>
      <w:r w:rsidR="00FD6D2A">
        <w:t xml:space="preserve">, quoting </w:t>
      </w:r>
      <w:r w:rsidR="00CA4E0D" w:rsidRPr="00763212">
        <w:rPr>
          <w:i/>
          <w:iCs/>
        </w:rPr>
        <w:t>PCMA v. Gerhart,</w:t>
      </w:r>
      <w:r w:rsidR="00CA4E0D" w:rsidRPr="00763212">
        <w:t xml:space="preserve"> 852 F.3d 722</w:t>
      </w:r>
      <w:r w:rsidR="00CA4E0D">
        <w:t>, 729</w:t>
      </w:r>
      <w:r w:rsidR="00CA4E0D" w:rsidRPr="00763212">
        <w:t xml:space="preserve"> (</w:t>
      </w:r>
      <w:r w:rsidR="00CA4E0D">
        <w:t>8</w:t>
      </w:r>
      <w:r w:rsidR="00CA4E0D" w:rsidRPr="003B47A1">
        <w:rPr>
          <w:vertAlign w:val="superscript"/>
        </w:rPr>
        <w:t>th</w:t>
      </w:r>
      <w:r w:rsidR="00CA4E0D">
        <w:t xml:space="preserve"> Cir. </w:t>
      </w:r>
      <w:r w:rsidR="00CA4E0D" w:rsidRPr="00763212">
        <w:t>2017)</w:t>
      </w:r>
      <w:r w:rsidR="00CA4E0D">
        <w:t>.</w:t>
      </w:r>
    </w:p>
  </w:footnote>
  <w:footnote w:id="4">
    <w:p w14:paraId="55C25E15" w14:textId="6E968A78" w:rsidR="00E90F57" w:rsidRPr="000456D8" w:rsidRDefault="00E90F57">
      <w:pPr>
        <w:pStyle w:val="FootnoteText"/>
      </w:pPr>
      <w:r>
        <w:rPr>
          <w:rStyle w:val="FootnoteReference"/>
        </w:rPr>
        <w:footnoteRef/>
      </w:r>
      <w:r>
        <w:t xml:space="preserve"> </w:t>
      </w:r>
      <w:r w:rsidR="00E15AA8" w:rsidRPr="005A6394">
        <w:rPr>
          <w:i/>
          <w:iCs/>
        </w:rPr>
        <w:t>Id.</w:t>
      </w:r>
      <w:r w:rsidR="000456D8">
        <w:t xml:space="preserve"> at 479, quoting </w:t>
      </w:r>
      <w:r w:rsidR="000456D8">
        <w:rPr>
          <w:i/>
          <w:iCs/>
        </w:rPr>
        <w:t>Gerhart,</w:t>
      </w:r>
      <w:r w:rsidR="000456D8">
        <w:t xml:space="preserve"> </w:t>
      </w:r>
      <w:r w:rsidR="00AB5C1F">
        <w:t>852 F.3d at 726, 731.</w:t>
      </w:r>
    </w:p>
  </w:footnote>
  <w:footnote w:id="5">
    <w:p w14:paraId="135D297D" w14:textId="65E0E3FE" w:rsidR="00BA0102" w:rsidRPr="002E2428" w:rsidRDefault="00BA0102">
      <w:pPr>
        <w:pStyle w:val="FootnoteText"/>
      </w:pPr>
      <w:r>
        <w:rPr>
          <w:rStyle w:val="FootnoteReference"/>
        </w:rPr>
        <w:footnoteRef/>
      </w:r>
      <w:r>
        <w:t xml:space="preserve"> </w:t>
      </w:r>
      <w:r w:rsidR="005A6394" w:rsidRPr="005A6394">
        <w:rPr>
          <w:i/>
          <w:iCs/>
        </w:rPr>
        <w:t>Id.</w:t>
      </w:r>
      <w:r>
        <w:t xml:space="preserve"> at 481</w:t>
      </w:r>
      <w:r w:rsidR="002E2428">
        <w:t xml:space="preserve">, quoting </w:t>
      </w:r>
      <w:r w:rsidR="002E2428">
        <w:rPr>
          <w:i/>
          <w:iCs/>
        </w:rPr>
        <w:t>Travelers,</w:t>
      </w:r>
      <w:r w:rsidR="002E2428">
        <w:t xml:space="preserve"> 514 U.S. at 656.</w:t>
      </w:r>
    </w:p>
  </w:footnote>
  <w:footnote w:id="6">
    <w:p w14:paraId="6FE3E4BC" w14:textId="07B5A52C" w:rsidR="00070179" w:rsidRPr="00070179" w:rsidRDefault="00070179">
      <w:pPr>
        <w:pStyle w:val="FootnoteText"/>
      </w:pPr>
      <w:r>
        <w:rPr>
          <w:rStyle w:val="FootnoteReference"/>
        </w:rPr>
        <w:footnoteRef/>
      </w:r>
      <w:r>
        <w:t xml:space="preserve"> </w:t>
      </w:r>
      <w:r>
        <w:rPr>
          <w:i/>
          <w:iCs/>
        </w:rPr>
        <w:t>Id.</w:t>
      </w:r>
      <w:r>
        <w:t xml:space="preserve"> at 480, </w:t>
      </w:r>
      <w:r w:rsidR="00A53B9B">
        <w:t xml:space="preserve">citing </w:t>
      </w:r>
      <w:r w:rsidR="00A53B9B">
        <w:rPr>
          <w:i/>
          <w:iCs/>
        </w:rPr>
        <w:t>Travelers,</w:t>
      </w:r>
      <w:r w:rsidR="00A53B9B">
        <w:t xml:space="preserve"> 514 U.S. at 66</w:t>
      </w:r>
      <w:r w:rsidR="00DE1993">
        <w:t>8.</w:t>
      </w:r>
    </w:p>
  </w:footnote>
  <w:footnote w:id="7">
    <w:p w14:paraId="32C20F66" w14:textId="77777777" w:rsidR="00452504" w:rsidRDefault="00452504" w:rsidP="00452504">
      <w:pPr>
        <w:pStyle w:val="FootnoteText"/>
      </w:pPr>
      <w:r>
        <w:rPr>
          <w:rStyle w:val="FootnoteReference"/>
        </w:rPr>
        <w:footnoteRef/>
      </w:r>
      <w:r>
        <w:t xml:space="preserve"> </w:t>
      </w:r>
      <w:r w:rsidRPr="005A6394">
        <w:rPr>
          <w:i/>
          <w:iCs/>
        </w:rPr>
        <w:t>Id.</w:t>
      </w:r>
      <w:r>
        <w:t xml:space="preserve"> at 481–482.</w:t>
      </w:r>
    </w:p>
  </w:footnote>
  <w:footnote w:id="8">
    <w:p w14:paraId="085AA041" w14:textId="365013C6" w:rsidR="00C82BDE" w:rsidRPr="00C82BDE" w:rsidRDefault="00C82BDE">
      <w:pPr>
        <w:pStyle w:val="FootnoteText"/>
      </w:pPr>
      <w:r>
        <w:rPr>
          <w:rStyle w:val="FootnoteReference"/>
        </w:rPr>
        <w:footnoteRef/>
      </w:r>
      <w:r>
        <w:t xml:space="preserve"> </w:t>
      </w:r>
      <w:r>
        <w:rPr>
          <w:i/>
          <w:iCs/>
        </w:rPr>
        <w:t>Id.</w:t>
      </w:r>
      <w:r>
        <w:t xml:space="preserve"> at 482, quoting PCMA brief at </w:t>
      </w:r>
      <w:r w:rsidR="002C37A6">
        <w:t>24.</w:t>
      </w:r>
    </w:p>
  </w:footnote>
  <w:footnote w:id="9">
    <w:p w14:paraId="6540917C" w14:textId="0A58A3DB" w:rsidR="00C414F8" w:rsidRDefault="00C414F8">
      <w:pPr>
        <w:pStyle w:val="FootnoteText"/>
      </w:pPr>
      <w:r>
        <w:rPr>
          <w:rStyle w:val="FootnoteReference"/>
        </w:rPr>
        <w:footnoteRef/>
      </w:r>
      <w:r>
        <w:t xml:space="preserve"> </w:t>
      </w:r>
      <w:r>
        <w:rPr>
          <w:i/>
          <w:iCs/>
        </w:rPr>
        <w:t>Id.</w:t>
      </w:r>
    </w:p>
  </w:footnote>
  <w:footnote w:id="10">
    <w:p w14:paraId="057050F4" w14:textId="45FC632E" w:rsidR="007F1B05" w:rsidRDefault="007F1B05">
      <w:pPr>
        <w:pStyle w:val="FootnoteText"/>
      </w:pPr>
      <w:r>
        <w:rPr>
          <w:rStyle w:val="FootnoteReference"/>
        </w:rPr>
        <w:footnoteRef/>
      </w:r>
      <w:r>
        <w:t xml:space="preserve"> </w:t>
      </w:r>
      <w:r>
        <w:rPr>
          <w:i/>
          <w:iCs/>
        </w:rPr>
        <w:t>Id.</w:t>
      </w:r>
    </w:p>
  </w:footnote>
  <w:footnote w:id="11">
    <w:p w14:paraId="06720262" w14:textId="74E9A59D" w:rsidR="00E74683" w:rsidRDefault="00E74683">
      <w:pPr>
        <w:pStyle w:val="FootnoteText"/>
      </w:pPr>
      <w:r>
        <w:rPr>
          <w:rStyle w:val="FootnoteReference"/>
        </w:rPr>
        <w:footnoteRef/>
      </w:r>
      <w:r>
        <w:t xml:space="preserve"> </w:t>
      </w:r>
      <w:r>
        <w:rPr>
          <w:i/>
          <w:iCs/>
        </w:rPr>
        <w:t>Id.</w:t>
      </w:r>
    </w:p>
  </w:footnote>
  <w:footnote w:id="12">
    <w:p w14:paraId="25253C66" w14:textId="479F2782" w:rsidR="00724963" w:rsidRDefault="00724963">
      <w:pPr>
        <w:pStyle w:val="FootnoteText"/>
      </w:pPr>
      <w:r>
        <w:rPr>
          <w:rStyle w:val="FootnoteReference"/>
        </w:rPr>
        <w:footnoteRef/>
      </w:r>
      <w:r>
        <w:t xml:space="preserve"> </w:t>
      </w:r>
      <w:r w:rsidR="000146F8">
        <w:rPr>
          <w:i/>
          <w:iCs/>
        </w:rPr>
        <w:t>Id.</w:t>
      </w:r>
      <w:r w:rsidR="000146F8">
        <w:t xml:space="preserve"> at 481.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62610"/>
    <w:multiLevelType w:val="hybridMultilevel"/>
    <w:tmpl w:val="D23A844E"/>
    <w:lvl w:ilvl="0" w:tplc="07942A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9C5"/>
    <w:rsid w:val="000102CA"/>
    <w:rsid w:val="00011FA9"/>
    <w:rsid w:val="000146F8"/>
    <w:rsid w:val="000411C6"/>
    <w:rsid w:val="000456D8"/>
    <w:rsid w:val="00056387"/>
    <w:rsid w:val="00070179"/>
    <w:rsid w:val="0008079D"/>
    <w:rsid w:val="000D6229"/>
    <w:rsid w:val="0012642E"/>
    <w:rsid w:val="001269E8"/>
    <w:rsid w:val="001373BA"/>
    <w:rsid w:val="0014061F"/>
    <w:rsid w:val="00154835"/>
    <w:rsid w:val="00187447"/>
    <w:rsid w:val="001B2807"/>
    <w:rsid w:val="001E33EF"/>
    <w:rsid w:val="00231FCA"/>
    <w:rsid w:val="0023523F"/>
    <w:rsid w:val="0025385C"/>
    <w:rsid w:val="0029704E"/>
    <w:rsid w:val="002B0CA9"/>
    <w:rsid w:val="002C37A6"/>
    <w:rsid w:val="002D6D82"/>
    <w:rsid w:val="002E1C24"/>
    <w:rsid w:val="002E2428"/>
    <w:rsid w:val="003116E2"/>
    <w:rsid w:val="00337137"/>
    <w:rsid w:val="00337EFC"/>
    <w:rsid w:val="003446BA"/>
    <w:rsid w:val="0036406E"/>
    <w:rsid w:val="003B3C8D"/>
    <w:rsid w:val="003B47A1"/>
    <w:rsid w:val="003D5BD8"/>
    <w:rsid w:val="003F5A6A"/>
    <w:rsid w:val="00411BFC"/>
    <w:rsid w:val="00433087"/>
    <w:rsid w:val="00452504"/>
    <w:rsid w:val="00483776"/>
    <w:rsid w:val="0049153B"/>
    <w:rsid w:val="00497D51"/>
    <w:rsid w:val="004C6385"/>
    <w:rsid w:val="004E39AD"/>
    <w:rsid w:val="004E752D"/>
    <w:rsid w:val="00507FD5"/>
    <w:rsid w:val="005141C8"/>
    <w:rsid w:val="005168C3"/>
    <w:rsid w:val="005244B0"/>
    <w:rsid w:val="005422B5"/>
    <w:rsid w:val="005432F9"/>
    <w:rsid w:val="00581B1E"/>
    <w:rsid w:val="00594181"/>
    <w:rsid w:val="005A6394"/>
    <w:rsid w:val="005B333A"/>
    <w:rsid w:val="005C0F4E"/>
    <w:rsid w:val="005D1763"/>
    <w:rsid w:val="005F696F"/>
    <w:rsid w:val="006815F3"/>
    <w:rsid w:val="006839C5"/>
    <w:rsid w:val="006877B0"/>
    <w:rsid w:val="006974C7"/>
    <w:rsid w:val="006A784C"/>
    <w:rsid w:val="006B7E42"/>
    <w:rsid w:val="006E7645"/>
    <w:rsid w:val="00701C0F"/>
    <w:rsid w:val="007143B9"/>
    <w:rsid w:val="00724963"/>
    <w:rsid w:val="00730366"/>
    <w:rsid w:val="0074183B"/>
    <w:rsid w:val="00746411"/>
    <w:rsid w:val="00763212"/>
    <w:rsid w:val="00764AA5"/>
    <w:rsid w:val="00772CEE"/>
    <w:rsid w:val="00773018"/>
    <w:rsid w:val="007A39D8"/>
    <w:rsid w:val="007F11F2"/>
    <w:rsid w:val="007F1B05"/>
    <w:rsid w:val="00821DC6"/>
    <w:rsid w:val="00845AB5"/>
    <w:rsid w:val="00847FA7"/>
    <w:rsid w:val="008C420E"/>
    <w:rsid w:val="008C6F41"/>
    <w:rsid w:val="008D0C2B"/>
    <w:rsid w:val="008E5F52"/>
    <w:rsid w:val="008F4D72"/>
    <w:rsid w:val="009539AA"/>
    <w:rsid w:val="009A03F0"/>
    <w:rsid w:val="009B4BD5"/>
    <w:rsid w:val="009C4287"/>
    <w:rsid w:val="00A322CE"/>
    <w:rsid w:val="00A34CAC"/>
    <w:rsid w:val="00A36BA5"/>
    <w:rsid w:val="00A53B9B"/>
    <w:rsid w:val="00A736DF"/>
    <w:rsid w:val="00AA531F"/>
    <w:rsid w:val="00AB4E19"/>
    <w:rsid w:val="00AB5C1F"/>
    <w:rsid w:val="00AE794C"/>
    <w:rsid w:val="00AE7E9A"/>
    <w:rsid w:val="00B03D04"/>
    <w:rsid w:val="00B04E94"/>
    <w:rsid w:val="00B15297"/>
    <w:rsid w:val="00B202BC"/>
    <w:rsid w:val="00B247DB"/>
    <w:rsid w:val="00B31D3A"/>
    <w:rsid w:val="00B60B83"/>
    <w:rsid w:val="00B66762"/>
    <w:rsid w:val="00B9581A"/>
    <w:rsid w:val="00BA0102"/>
    <w:rsid w:val="00BB1090"/>
    <w:rsid w:val="00BB56AD"/>
    <w:rsid w:val="00BD17B3"/>
    <w:rsid w:val="00C23E54"/>
    <w:rsid w:val="00C27FD1"/>
    <w:rsid w:val="00C300C9"/>
    <w:rsid w:val="00C414F8"/>
    <w:rsid w:val="00C6737C"/>
    <w:rsid w:val="00C70460"/>
    <w:rsid w:val="00C82BDE"/>
    <w:rsid w:val="00C83FEE"/>
    <w:rsid w:val="00CA4E0D"/>
    <w:rsid w:val="00CC3ACA"/>
    <w:rsid w:val="00CD3CB4"/>
    <w:rsid w:val="00CE0A42"/>
    <w:rsid w:val="00D072EE"/>
    <w:rsid w:val="00D132E7"/>
    <w:rsid w:val="00D77E62"/>
    <w:rsid w:val="00D93852"/>
    <w:rsid w:val="00DA4A78"/>
    <w:rsid w:val="00DC48A9"/>
    <w:rsid w:val="00DC58F8"/>
    <w:rsid w:val="00DE1993"/>
    <w:rsid w:val="00DE7B7F"/>
    <w:rsid w:val="00E04DF1"/>
    <w:rsid w:val="00E15AA8"/>
    <w:rsid w:val="00E32C6B"/>
    <w:rsid w:val="00E47036"/>
    <w:rsid w:val="00E557D2"/>
    <w:rsid w:val="00E74683"/>
    <w:rsid w:val="00E90F57"/>
    <w:rsid w:val="00E96D6D"/>
    <w:rsid w:val="00EA47AB"/>
    <w:rsid w:val="00EA5E80"/>
    <w:rsid w:val="00EB397F"/>
    <w:rsid w:val="00ED7592"/>
    <w:rsid w:val="00EF1F57"/>
    <w:rsid w:val="00F16054"/>
    <w:rsid w:val="00F44496"/>
    <w:rsid w:val="00F54A2C"/>
    <w:rsid w:val="00F62289"/>
    <w:rsid w:val="00F94E6C"/>
    <w:rsid w:val="00F96B67"/>
    <w:rsid w:val="00FB33F9"/>
    <w:rsid w:val="00FD6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CA23A"/>
  <w15:chartTrackingRefBased/>
  <w15:docId w15:val="{F8E6A3E3-4EBE-4F29-BB42-4AB8F9047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2BC"/>
    <w:pPr>
      <w:widowControl w:val="0"/>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C0F"/>
    <w:pPr>
      <w:ind w:left="720" w:hanging="360"/>
    </w:pPr>
  </w:style>
  <w:style w:type="paragraph" w:styleId="BalloonText">
    <w:name w:val="Balloon Text"/>
    <w:basedOn w:val="Normal"/>
    <w:link w:val="BalloonTextChar"/>
    <w:uiPriority w:val="99"/>
    <w:semiHidden/>
    <w:unhideWhenUsed/>
    <w:rsid w:val="006839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9C5"/>
    <w:rPr>
      <w:rFonts w:ascii="Segoe UI" w:hAnsi="Segoe UI" w:cs="Segoe UI"/>
      <w:sz w:val="18"/>
      <w:szCs w:val="18"/>
    </w:rPr>
  </w:style>
  <w:style w:type="character" w:styleId="CommentReference">
    <w:name w:val="annotation reference"/>
    <w:basedOn w:val="DefaultParagraphFont"/>
    <w:uiPriority w:val="99"/>
    <w:semiHidden/>
    <w:unhideWhenUsed/>
    <w:rsid w:val="008D0C2B"/>
    <w:rPr>
      <w:sz w:val="16"/>
      <w:szCs w:val="16"/>
    </w:rPr>
  </w:style>
  <w:style w:type="paragraph" w:styleId="CommentText">
    <w:name w:val="annotation text"/>
    <w:basedOn w:val="Normal"/>
    <w:link w:val="CommentTextChar"/>
    <w:uiPriority w:val="99"/>
    <w:semiHidden/>
    <w:unhideWhenUsed/>
    <w:rsid w:val="008D0C2B"/>
    <w:rPr>
      <w:sz w:val="20"/>
      <w:szCs w:val="20"/>
    </w:rPr>
  </w:style>
  <w:style w:type="character" w:customStyle="1" w:styleId="CommentTextChar">
    <w:name w:val="Comment Text Char"/>
    <w:basedOn w:val="DefaultParagraphFont"/>
    <w:link w:val="CommentText"/>
    <w:uiPriority w:val="99"/>
    <w:semiHidden/>
    <w:rsid w:val="008D0C2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D0C2B"/>
    <w:rPr>
      <w:b/>
      <w:bCs/>
    </w:rPr>
  </w:style>
  <w:style w:type="character" w:customStyle="1" w:styleId="CommentSubjectChar">
    <w:name w:val="Comment Subject Char"/>
    <w:basedOn w:val="CommentTextChar"/>
    <w:link w:val="CommentSubject"/>
    <w:uiPriority w:val="99"/>
    <w:semiHidden/>
    <w:rsid w:val="008D0C2B"/>
    <w:rPr>
      <w:rFonts w:ascii="Times New Roman" w:hAnsi="Times New Roman"/>
      <w:b/>
      <w:bCs/>
      <w:sz w:val="20"/>
      <w:szCs w:val="20"/>
    </w:rPr>
  </w:style>
  <w:style w:type="paragraph" w:styleId="FootnoteText">
    <w:name w:val="footnote text"/>
    <w:basedOn w:val="Normal"/>
    <w:link w:val="FootnoteTextChar"/>
    <w:uiPriority w:val="99"/>
    <w:semiHidden/>
    <w:unhideWhenUsed/>
    <w:rsid w:val="00F54A2C"/>
    <w:rPr>
      <w:sz w:val="20"/>
      <w:szCs w:val="20"/>
    </w:rPr>
  </w:style>
  <w:style w:type="character" w:customStyle="1" w:styleId="FootnoteTextChar">
    <w:name w:val="Footnote Text Char"/>
    <w:basedOn w:val="DefaultParagraphFont"/>
    <w:link w:val="FootnoteText"/>
    <w:uiPriority w:val="99"/>
    <w:semiHidden/>
    <w:rsid w:val="00F54A2C"/>
    <w:rPr>
      <w:rFonts w:ascii="Times New Roman" w:hAnsi="Times New Roman"/>
      <w:sz w:val="20"/>
      <w:szCs w:val="20"/>
    </w:rPr>
  </w:style>
  <w:style w:type="character" w:styleId="FootnoteReference">
    <w:name w:val="footnote reference"/>
    <w:basedOn w:val="DefaultParagraphFont"/>
    <w:uiPriority w:val="99"/>
    <w:semiHidden/>
    <w:unhideWhenUsed/>
    <w:rsid w:val="00F54A2C"/>
    <w:rPr>
      <w:vertAlign w:val="superscript"/>
    </w:rPr>
  </w:style>
  <w:style w:type="paragraph" w:styleId="Revision">
    <w:name w:val="Revision"/>
    <w:hidden/>
    <w:uiPriority w:val="99"/>
    <w:semiHidden/>
    <w:rsid w:val="002E1C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Virtual Bob</dc:creator>
  <cp:keywords/>
  <dc:description/>
  <cp:lastModifiedBy>Cook, Jennifer R.</cp:lastModifiedBy>
  <cp:revision>3</cp:revision>
  <dcterms:created xsi:type="dcterms:W3CDTF">2022-02-16T20:20:00Z</dcterms:created>
  <dcterms:modified xsi:type="dcterms:W3CDTF">2022-02-16T20:21:00Z</dcterms:modified>
</cp:coreProperties>
</file>